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169/5.9.2023</w:t>
      </w:r>
    </w:p>
    <w:p>
      <w:pPr>
        <w:pStyle w:val="Title"/>
        <w:spacing w:before="120" w:after="360"/>
        <w:rPr>
          <w:lang w:val="el" w:eastAsia="el"/>
        </w:rPr>
      </w:pPr>
      <w:r>
        <w:rPr>
          <w:lang w:val="el" w:eastAsia="el"/>
        </w:rPr>
        <w:t>Τεχνικές λεπτομέρειες οργάνωσης και εφαρμογής των υποστηρικτικών μέτρων για τους νέους ηλικίας δεκαοκτώ (18) και δεκαεννέα (19) ετών του άρθρου 47 του ν. 5045/2023 (Α' 136)</w:t>
      </w:r>
    </w:p>
    <w:p>
      <w:pPr>
        <w:pStyle w:val="PreambelText"/>
        <w:spacing w:before="240" w:after="240"/>
        <w:rPr>
          <w:lang w:val="el" w:eastAsia="el"/>
        </w:rPr>
      </w:pPr>
      <w:r>
        <w:rPr>
          <w:lang w:val="el" w:eastAsia="el"/>
        </w:rPr>
        <w:t>(ΦΕΚ Β' 5420/14.09.2023)</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ΕΘΝΙΚΗΣ ΟΙΚΟΝΟΜΙΑΣ ΚΑΙ ΟΙΚΟΝΟΜΙΚΩΝ - ΕΣΩΤΕΡΙΚΩΝ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47 του ν. 5045/2023 «Ενίσχυση του εισοδήματος των μισθωτών, των νέων, της οικογένειας και της εργασίας - συνταξιοδοτικές ρυθμίσεις» (Α' 136) και ιδίως της παρ. 12,</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 32 του ν. 3614/2007 «Διαχείριση, έλεγχος και εφαρμογή αναπτυξιακών παρεμβάσεων για την προγραμματική περίοδο 2007 - 2013»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ιβ)</w:t>
      </w:r>
      <w:r>
        <w:rPr>
          <w:lang w:val="en" w:eastAsia="en"/>
        </w:rPr>
        <w:tab/>
      </w:r>
      <w:r>
        <w:rPr>
          <w:lang w:val="el" w:eastAsia="el"/>
        </w:rPr>
        <w:t>του π.δ. 79/2023 «Διορισμός Αναπληρωτών Υπουργών και Υφυπουργών» (Α' 131),</w:t>
      </w:r>
    </w:p>
    <w:p>
      <w:pPr>
        <w:pStyle w:val="StructureList1"/>
        <w:spacing w:before="120" w:after="0"/>
        <w:rPr>
          <w:lang w:val="el" w:eastAsia="el"/>
        </w:rPr>
      </w:pPr>
      <w:r>
        <w:rPr>
          <w:lang w:val="el" w:eastAsia="el"/>
        </w:rPr>
        <w:t>ιγ)</w:t>
      </w:r>
      <w:r>
        <w:rPr>
          <w:lang w:val="en" w:eastAsia="en"/>
        </w:rPr>
        <w:tab/>
      </w:r>
      <w:r>
        <w:rPr>
          <w:lang w:val="el" w:eastAsia="el"/>
        </w:rPr>
        <w:t>του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ιδ)</w:t>
      </w:r>
      <w:r>
        <w:rPr>
          <w:lang w:val="en" w:eastAsia="en"/>
        </w:rPr>
        <w:tab/>
      </w:r>
      <w:r>
        <w:rPr>
          <w:lang w:val="el" w:eastAsia="el"/>
        </w:rPr>
        <w:t>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(Β'4441),</w:t>
      </w:r>
    </w:p>
    <w:p>
      <w:pPr>
        <w:pStyle w:val="StructureList1"/>
        <w:spacing w:before="120" w:after="0"/>
        <w:rPr>
          <w:lang w:val="el" w:eastAsia="el"/>
        </w:rPr>
      </w:pPr>
      <w:r>
        <w:rPr>
          <w:lang w:val="el" w:eastAsia="el"/>
        </w:rPr>
        <w:t>ιε)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ιζ)</w:t>
      </w:r>
      <w:r>
        <w:rPr>
          <w:lang w:val="en" w:eastAsia="en"/>
        </w:rPr>
        <w:tab/>
      </w:r>
      <w:r>
        <w:rPr>
          <w:lang w:val="el" w:eastAsia="el"/>
        </w:rPr>
        <w:t>του π.δ. 141/2017 «Οργανισμός του Υπουργείου Εσωτερικών» (Α' 180).</w:t>
      </w:r>
    </w:p>
    <w:p>
      <w:pPr>
        <w:pStyle w:val="PreambelText"/>
        <w:spacing w:before="240" w:after="240"/>
        <w:rPr>
          <w:lang w:val="el" w:eastAsia="el"/>
        </w:rPr>
      </w:pPr>
      <w:r>
        <w:rPr>
          <w:lang w:val="el" w:eastAsia="el"/>
        </w:rPr>
        <w:t>2. Την υπ' αρ.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3. Την υπ' αρ.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4. Την υπ' αρ. 3981/25.2.2020 απόφαση του Υπουργού Επικρατείας «Παροχή Υπηρεσίας Αυθεντικοποίησης Χρηστών oAuth 2.0 σε Πληροφοριακά Συστήματα τρίτων Φορέων» (Β' 762).</w:t>
      </w:r>
    </w:p>
    <w:p>
      <w:pPr>
        <w:pStyle w:val="PreambelText"/>
        <w:spacing w:before="240" w:after="240"/>
        <w:rPr>
          <w:lang w:val="el" w:eastAsia="el"/>
        </w:rPr>
      </w:pPr>
      <w:r>
        <w:rPr>
          <w:lang w:val="el" w:eastAsia="el"/>
        </w:rPr>
        <w:t xml:space="preserve">5. Την υπό στοιχεία 35656 ΕΞ 2023/03.08.2023 εισήγηση δημοσιονομικών επιπτώσεων της ΓΔΟΥ του Υπουργείου Ψηφιακής Διακυβέρνησης, σύμφωνα με την οποία το κόστος για τον τεχνικό σχεδιασμό και την υλοποίηση της ειδικής εφαρμογής από την Ανώνυμη Εταιρεία “Κοινωνία της Πληροφορίας Μονοπρόσωπη" (Κ.τ.Π. Μ.Α.Ε.) προβλέπεται να ανέλθει στο ύψος των 1.221.400,00 ευρώ. Επιπλέον του ποσού των υπηρεσιών υποστήριξης, προστίθενται και τα τραπεζικά έξοδα της δράσης “Youth Pass" προϋπολογισθέν ποσού 10.000,00 ευρώ. Τέλος, ως προς το κόστος της οικονομικής ενίσχυσης καθαυτής εκτιμάται ετήσια δαπάνη ύψους 30.000.000,00 ευρώ. Για την εφαρμογή της παρούσας, η ΚτΠ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Εθνικής Οικονομίας και Οικονομικών, </w:t>
      </w:r>
    </w:p>
    <w:p>
      <w:pPr>
        <w:pStyle w:val="PreambelText"/>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Σύμφωνα με το άρθρο 47 του ν. 5045/2023, παρέχεται οικονομική διευκόλυνση, από το έτος 2023 και εξής, από τον κρατικό προϋπολογισμό, ύψους εκατόν πενήντα (150) ευρώ, κατ' έτος, σε νέους δεκαοκτώ (18) και δεκαεννέα (19) ετών, με τη μορφή ψηφιακής χρεωστικής κάρτας, για την πραγματοποίηση αγορών ή τη λήψη υπηρεσιών από επιχειρήσεις που δραστηριοποιούνται στους τομείς του πολιτισμού, του τουρισμού και των μεταφορών.</w:t>
      </w:r>
    </w:p>
    <w:p>
      <w:pPr>
        <w:pStyle w:val="MainText"/>
        <w:spacing w:before="120" w:after="0"/>
        <w:rPr>
          <w:lang w:val="el" w:eastAsia="el"/>
        </w:rPr>
      </w:pPr>
      <w:r>
        <w:rPr>
          <w:b/>
          <w:bCs/>
          <w:lang w:val="el" w:eastAsia="el"/>
        </w:rPr>
        <w:t>2.</w:t>
      </w:r>
      <w:r>
        <w:rPr>
          <w:lang w:val="el" w:eastAsia="el"/>
        </w:rPr>
        <w:t xml:space="preserve"> Σκοπός της παρούσας είναι ο καθορισμός ειδικότερα του χρόνου έναρξης της παραγωγικής λειτουργίας, των τεχνικών και οργανωτικών μέτρων για τη λειτουργία της ειδικής εφαρμογής της παρ. 3 του άρθρου 47 του ν. 5045/2023 (Α' 136), των ειδικότερων κατηγοριών των επιχειρήσεων της παρ. 10 του ίδιου άρθρου, των απαραίτητων διαλειτουργικοτήτων, των ειδικότερων ζητημάτων εκκαθάρισης του χρηματικού ποσού και κάθε άλλης αναγκαίας λεπτομέρειας για την εφαρμογή των προβλεπόμενων στο άρθρο 47.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της οικονομικής διευκόλυνσης είναι φυσικά πρόσωπα που:</w:t>
      </w:r>
    </w:p>
    <w:p>
      <w:pPr>
        <w:pStyle w:val="StructureList1"/>
        <w:spacing w:before="120" w:after="0"/>
        <w:rPr>
          <w:lang w:val="el" w:eastAsia="el"/>
        </w:rPr>
      </w:pPr>
      <w:r>
        <w:rPr>
          <w:lang w:val="el" w:eastAsia="el"/>
        </w:rPr>
        <w:t>α)</w:t>
      </w:r>
      <w:r>
        <w:rPr>
          <w:lang w:val="en" w:eastAsia="en"/>
        </w:rPr>
        <w:tab/>
      </w:r>
      <w:r>
        <w:rPr>
          <w:lang w:val="el" w:eastAsia="el"/>
        </w:rPr>
        <w:t>Είναι φορολογικοί κάτοικοι Ελλάδας,</w:t>
      </w:r>
    </w:p>
    <w:p>
      <w:pPr>
        <w:pStyle w:val="StructureList1"/>
        <w:spacing w:before="120" w:after="0"/>
        <w:rPr>
          <w:lang w:val="el" w:eastAsia="el"/>
        </w:rPr>
      </w:pPr>
      <w:r>
        <w:rPr>
          <w:lang w:val="el" w:eastAsia="el"/>
        </w:rPr>
        <w:t>β)</w:t>
      </w:r>
      <w:r>
        <w:rPr>
          <w:lang w:val="en" w:eastAsia="en"/>
        </w:rPr>
        <w:tab/>
      </w:r>
      <w:r>
        <w:rPr>
          <w:lang w:val="el" w:eastAsia="el"/>
        </w:rPr>
        <w:t>έχουν συμπληρώσει το δέκατο όγδοο (18ο) ή δέκατο ένατο (19ο) έτος της ηλικίας τους εντός του προηγούμενου από την αίτηση έτους,</w:t>
      </w:r>
    </w:p>
    <w:p>
      <w:pPr>
        <w:pStyle w:val="StructureList1"/>
        <w:spacing w:before="120" w:after="0"/>
        <w:rPr>
          <w:lang w:val="el" w:eastAsia="el"/>
        </w:rPr>
      </w:pPr>
      <w:r>
        <w:rPr>
          <w:lang w:val="el" w:eastAsia="el"/>
        </w:rPr>
        <w:t>γ)</w:t>
      </w:r>
      <w:r>
        <w:rPr>
          <w:lang w:val="en" w:eastAsia="en"/>
        </w:rPr>
        <w:tab/>
      </w:r>
      <w:r>
        <w:rPr>
          <w:lang w:val="el" w:eastAsia="el"/>
        </w:rPr>
        <w:t>υποβάλλουν αίτηση στην ειδική εφαρμογή της παρούσας.</w:t>
      </w:r>
    </w:p>
    <w:p>
      <w:pPr>
        <w:spacing w:before="240" w:after="240"/>
        <w:rPr>
          <w:lang w:val="el" w:eastAsia="el"/>
        </w:rPr>
      </w:pPr>
      <w:r>
        <w:rPr>
          <w:lang w:val="el" w:eastAsia="el"/>
        </w:rPr>
        <w:t>Σε καμία περίπτωση η ενίσχυση δεν καταβάλλεται σε φυσικά πρόσωπα που έχουν συμπληρώσει το εικοστό (20ο) και πέρα έτος της ηλικίας τους εντός του προηγούμενου έτους από την αίτηση.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έκδοσης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3 του άρθρου 47 του ν. 5045/2023, κάθε φυσικό πρόσωπο δικαιούχος, σύμφωνα με το άρθρο 2 της παρούσας, δύναται να αιτείται την έκδοση ψηφιακής χρεωστικής κάρτας στην οποία πιστώνεται από την ανώνυμη εταιρεία του Ελληνικού Δημοσίου «Κοινωνία της Πληροφορίας Μονοπρόσωπη Α.Ε.» (ΚτΠ Μ.Α.Ε.), υπέρ του δικαιούχου σε ψηφιακή χρεωστική κάρτα, που εκδίδεται άπαξ ειδικά για το σκοπό αυτόν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 διαπιστευτηρίων (taxisnet) της Γενικής Γραμματείας Πληροφοριακών Συστημάτων και Ψηφιακής Διακυβέρνησης (Γ.Γ.Π.Σ.Ψ.Δ.),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ο δικαιούχος καταχωρίζει στα εμφανιζόμενα στο σύστημα πεδία τα στοιχεία επικοινωνίας, και ειδικότερα τη διεύθυνση ηλεκτρονικού ταχυδρομείου και τον αριθμό του κινητού τηλεφώνου, το πιστωτικό ίδρυμα που επιλέγει για την έκδοση της ψηφιακής χρεωστικής κάρτας και αιτείται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διαλειτουργεί με τα απαραίτητα μητρώα, ιδίως το Φορολογικό Μητρώο της Ανεξάρτητης Αρχής Δημοσίων Εσόδων (ΑΑΔΕ) και το Εθνικό Μητρώο Επικοινωνίας της Γενικής Γραμματείας Πληροφοριακών Συστημάτων και Ψηφιακής Διακυβέρνησης, αντλώντας τα αναγκαία στοιχεία μέσω του Κέντρου Διαλειτουργικότητας (ΚΕ.Δ.) της Γ.Γ.Π.Σ.Ψ.Δ.</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Η ειδική εφαρμογή δέχεται τις αιτήσεις των ενδιαφερομένων από την 1η Απριλίου μέχρι και τη 15η Μαΐου κάθε έτους. Σε κάθε περίπτωση, η έναρξη της ειδικής εφαρμογής κάθε έτος δεν λαμβάνει χώρα εντός Σαββάτου, Κυριακής ή άλλης αργίας και μεταφέρεται στην αμέσως επόμενη εργάσιμη ημέρα.</w:t>
      </w:r>
    </w:p>
    <w:p>
      <w:pPr>
        <w:pStyle w:val="MainText"/>
        <w:spacing w:before="120" w:after="0"/>
        <w:rPr>
          <w:lang w:val="el" w:eastAsia="el"/>
        </w:rPr>
      </w:pPr>
      <w:r>
        <w:rPr>
          <w:b/>
          <w:bCs/>
          <w:lang w:val="el" w:eastAsia="el"/>
        </w:rPr>
        <w:t>6.</w:t>
      </w:r>
      <w:r>
        <w:rPr>
          <w:lang w:val="el" w:eastAsia="el"/>
        </w:rPr>
        <w:t xml:space="preserve"> Ειδικώς για το πρώτο έτος λειτουργίας και τους δικαιούχους του άρθρου 2 που έχουν συμπληρώσει εντός του 2022 το 18ο ή 19ο έτος της ηλικίας τους, η ειδική εφαρμογή δέχεται τις αιτήσεις από την 9η Νοεμβρίου και μέχρι τη 12η Δεκεμβρίου 2023.</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Η αίτηση υποβάλλεται άπαξ και δεν επανυποβάλλεται μετά και τη συμπλήρωση του 19ου έτους της ηλικίας του δικαιούχου. Η πληρωμή των δικαιούχων για το επόμενο έτος λαμβάνει χώρα αυτοδίκαια, μετά τον επανέλεγχο των προϋποθέσεων του άρθρου 2 της παρούσας, εντός των προθεσμιών της παρ. 3 του άρθρου 5 της παρούσας.</w:t>
      </w:r>
    </w:p>
    <w:p>
      <w:pPr>
        <w:pStyle w:val="MainText"/>
        <w:spacing w:before="120" w:after="0"/>
        <w:rPr>
          <w:lang w:val="el" w:eastAsia="el"/>
        </w:rPr>
      </w:pPr>
      <w:r>
        <w:rPr>
          <w:b/>
          <w:bCs/>
          <w:lang w:val="el" w:eastAsia="el"/>
        </w:rPr>
        <w:t>8.</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επίλυση προβλημάτων και την παροχή οδηγιών.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έκδοσης 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Κέντρων Εξυπηρέτησης Πολιτών (Κ.Ε.Π.), από πιστοποιημένο υπάλληλο, κατόπιν σχετικής αίτησης του φυσικού προσώπου - δικαιούχου, καθώς και μέσω εξουσιοδοτημένου αντιπροσώπου, βάσει του Κώδικα Διοικητικής Διαδικασίας.</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Γ.Γ.Π.Σ.Ψ.Δ. του Υπουργείου Ψηφιακής Διακυβέρνησης, σύμφωνα με την υπό στοιχεία 29810 ΕΞ 2020 (Β’ 4798) απόφαση του Υπουργού Επικρατείας. Στη συνέχεια, ο υπάλληλος καταχωρίζει στα πεδία που εμφανίζονται στο σύστημα:</w:t>
      </w:r>
    </w:p>
    <w:p>
      <w:pPr>
        <w:pStyle w:val="StructureList1"/>
        <w:spacing w:before="120" w:after="0"/>
        <w:rPr>
          <w:lang w:val="el" w:eastAsia="el"/>
        </w:rPr>
      </w:pPr>
      <w:r>
        <w:rPr>
          <w:lang w:val="el" w:eastAsia="el"/>
        </w:rPr>
        <w:t>α)</w:t>
      </w:r>
      <w:r>
        <w:rPr>
          <w:lang w:val="en" w:eastAsia="en"/>
        </w:rPr>
        <w:tab/>
      </w:r>
      <w:r>
        <w:rPr>
          <w:lang w:val="el" w:eastAsia="el"/>
        </w:rPr>
        <w:t>Τον Αριθμό Φορολογικού Μητρώου (Α.Φ.Μ.) του φυσικού προσώπου,</w:t>
      </w:r>
    </w:p>
    <w:p>
      <w:pPr>
        <w:pStyle w:val="StructureList1"/>
        <w:spacing w:before="120" w:after="0"/>
        <w:rPr>
          <w:lang w:val="el" w:eastAsia="el"/>
        </w:rPr>
      </w:pPr>
      <w:r>
        <w:rPr>
          <w:lang w:val="el" w:eastAsia="el"/>
        </w:rPr>
        <w:t>β)</w:t>
      </w:r>
      <w:r>
        <w:rPr>
          <w:lang w:val="en" w:eastAsia="en"/>
        </w:rPr>
        <w:tab/>
      </w:r>
      <w:r>
        <w:rPr>
          <w:lang w:val="el" w:eastAsia="el"/>
        </w:rPr>
        <w:t>τα στοιχεία επικοινωνίας του φυσικού προσώπου, και ειδικότερα τη διεύθυνση ηλεκτρονικού ταχυδρομείου και τον αριθμό του κινητού τηλεφώνου και</w:t>
      </w:r>
    </w:p>
    <w:p>
      <w:pPr>
        <w:pStyle w:val="StructureList1"/>
        <w:spacing w:before="120" w:after="0"/>
        <w:rPr>
          <w:lang w:val="el" w:eastAsia="el"/>
        </w:rPr>
      </w:pPr>
      <w:r>
        <w:rPr>
          <w:lang w:val="el" w:eastAsia="el"/>
        </w:rPr>
        <w:t>γ)</w:t>
      </w:r>
      <w:r>
        <w:rPr>
          <w:lang w:val="en" w:eastAsia="en"/>
        </w:rPr>
        <w:tab/>
      </w:r>
      <w:r>
        <w:rPr>
          <w:lang w:val="el" w:eastAsia="el"/>
        </w:rPr>
        <w:t>το πιστωτικό ίδρυμα που επιλέγει το φυσικό πρόσωπο, και αιτείται για λογαριασμό του φυσικού προσώπου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εγχειρίδιο χρήσης της ειδικής ηλεκτρονικής εφαρμογής, καθώς και υπηρεσία εξυπηρέτησης των χρηστών (help desk) για την αναφορά/επίλυση προβλημάτων και την παροχή οδηγιών.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Πίστωση της οικονομικής διευκόλυνσης και ενεργοποίηση ψηφιακής χρεωστικής κάρτας</w:t>
      </w:r>
    </w:p>
    <w:p>
      <w:pPr>
        <w:pStyle w:val="MainText"/>
        <w:spacing w:before="120" w:after="0"/>
        <w:rPr>
          <w:lang w:val="el" w:eastAsia="el"/>
        </w:rPr>
      </w:pPr>
      <w:r>
        <w:rPr>
          <w:b/>
          <w:bCs/>
          <w:lang w:val="el" w:eastAsia="el"/>
        </w:rPr>
        <w:t>1.</w:t>
      </w:r>
      <w:r>
        <w:rPr>
          <w:lang w:val="el" w:eastAsia="el"/>
        </w:rPr>
        <w:t xml:space="preserve"> Μετά την ολοκλήρωση της υποβολής της αίτησης του φυσικού προσώπου σύμφωνα με τα άρθρα 3 ή 4 και εφόσον επαληθευθεί η ιδιότητά του ως δικαιούχου, η Κ.τ.Π. Μ.Α.Ε. διαβιβάζει εγκριτική απόφαση στο πιστωτικό ίδρυμα ή στο χρηματοπιστωτικό οργανισμό, τηρουμένων των κατάλληλων τεχνικών και οργανωτικών μέτρων, με τον Αριθμό Φορολογικού Μητρώου, το όνομα, το επώνυμο, τη διεύθυνση ηλεκτρονικού ταχυδρομείου και τον αριθμό κινητού τηλεφώνου του δικαιούχου, για το σκοπό έκδοσης της ψηφιακής χρεωστικής κάρτας και πίστωσης του ποσού της οικονομικής ενίσχυσης, και εμβάζει αμελλητί στο πιστωτικό ίδρυμα ή στον χρηματοπιστωτικό οργανισμό το χρηματικό ποσό που αντιστοιχεί στο δικαιούχο.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πιστωτικό ίδρυμα ή ο χρηματοπιστωτικός οργανισμός ενημερώνει το δικαιούχο για τη διαδικασία που πρέπει να ακολουθήσει για την πρώτη ενεργοποίηση της κάρτας και την πίστωση του χρηματικού ποσού, αποστέλλοντας:</w:t>
      </w:r>
    </w:p>
    <w:p>
      <w:pPr>
        <w:pStyle w:val="StructureList1"/>
        <w:spacing w:before="120" w:after="0"/>
        <w:rPr>
          <w:lang w:val="el" w:eastAsia="el"/>
        </w:rPr>
      </w:pPr>
      <w:r>
        <w:rPr>
          <w:lang w:val="el" w:eastAsia="el"/>
        </w:rPr>
        <w:t>α)</w:t>
      </w:r>
      <w:r>
        <w:rPr>
          <w:lang w:val="en" w:eastAsia="en"/>
        </w:rPr>
        <w:tab/>
      </w:r>
      <w:r>
        <w:rPr>
          <w:lang w:val="el" w:eastAsia="el"/>
        </w:rPr>
        <w:t>Γραπτό μήνυμα (sms) στον αριθμό κινητού τηλεφώνου που έχει δηλώσει ο δικαιούχος στην ειδική εφαρμογή, με ενσωματωμένες οδηγίες και</w:t>
      </w:r>
    </w:p>
    <w:p>
      <w:pPr>
        <w:pStyle w:val="StructureList1"/>
        <w:spacing w:before="120" w:after="0"/>
        <w:rPr>
          <w:lang w:val="el" w:eastAsia="el"/>
        </w:rPr>
      </w:pPr>
      <w:r>
        <w:rPr>
          <w:lang w:val="el" w:eastAsia="el"/>
        </w:rPr>
        <w:t>β)</w:t>
      </w:r>
      <w:r>
        <w:rPr>
          <w:lang w:val="en" w:eastAsia="en"/>
        </w:rPr>
        <w:tab/>
      </w:r>
      <w:r>
        <w:rPr>
          <w:lang w:val="el" w:eastAsia="el"/>
        </w:rPr>
        <w:t>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w:t>
      </w:r>
    </w:p>
    <w:p>
      <w:pPr>
        <w:spacing w:before="240" w:after="240"/>
        <w:rPr>
          <w:lang w:val="el" w:eastAsia="el"/>
        </w:rPr>
      </w:pPr>
      <w:r>
        <w:rPr>
          <w:lang w:val="el" w:eastAsia="el"/>
        </w:rPr>
        <w:t>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ενίσχυση για όλους τους δικαιούχους αποστέλλεται μια φορά ετησίως στα τραπεζικά ιδρύματα για πίστωση στις ψηφιακές χρεωστικές κάρτες μέχρι την 31η Μαΐου κάθε έτους. Ειδικώς για την πρώτη εφαρμογή εντός του 2023, η ανωτέρω πίστωση λαμβάνει χώρα: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 μέχρι τη 10η Δεκεμβρίου 2023 για αιτήσεις που υποβάλλονται στην ειδική εφαρμογή από την 9η Νοεμβρίου μέχρι και την 5η Δεκεμβρίου 2023,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 μέχρι την 21η Δεκεμβρίου 2023 για αιτήσεις που υποβάλλονται στην ειδική εφαρμογή από την 6η Δεκεμβρίου μέχρι και τη 12η Δεκεμβρίου 2023.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Το χρηματικό ποσό που πιστώνεται στη χρεωστική κάρτα, δύναται να χρησιμοποιείται αποκλειστικά από το δικαιούχο για την πραγματοποίηση αγορών ή τη λήψη υπηρεσιών από επιχειρήσεις που δραστηριοποιούνται στους τομείς του τουρισμού, του πολιτισμού και των μεταφορών και φέρουν, ιδίως, τους Κωδικούς Κατηγορίας Εμπόρου (Merchant Category Codes - MCC) και τους Κωδικούς Αριθμούς Δραστηριότητας (Κ.Α.Δ.) που περιλαμβάνονται στα Παραρτήματα Ι και ΙΙ, αντίστοιχα, τα οποία αποτελούν αναπόσπαστο μέρος της παρούσας.</w:t>
      </w:r>
    </w:p>
    <w:p>
      <w:pPr>
        <w:pStyle w:val="MainText"/>
        <w:spacing w:before="120" w:after="0"/>
        <w:rPr>
          <w:lang w:val="el" w:eastAsia="el"/>
        </w:rPr>
      </w:pPr>
      <w:r>
        <w:rPr>
          <w:b/>
          <w:bCs/>
          <w:lang w:val="el" w:eastAsia="el"/>
        </w:rPr>
        <w:t>5.</w:t>
      </w:r>
      <w:r>
        <w:rPr>
          <w:lang w:val="el" w:eastAsia="el"/>
        </w:rPr>
        <w:t xml:space="preserve"> Δεν είναι εφικτή οποιαδήποτε μεταφορά σε τρίτο πρόσωπο ή ανάληψη του χρηματικού ποσού που πιστώνεται στη χρεωστική κάρτα.</w:t>
      </w:r>
    </w:p>
    <w:p>
      <w:pPr>
        <w:pStyle w:val="MainText"/>
        <w:spacing w:before="120" w:after="0"/>
        <w:rPr>
          <w:lang w:val="el" w:eastAsia="el"/>
        </w:rPr>
      </w:pPr>
      <w:r>
        <w:rPr>
          <w:b/>
          <w:bCs/>
          <w:lang w:val="el" w:eastAsia="el"/>
        </w:rPr>
        <w:t>6.</w:t>
      </w:r>
      <w:r>
        <w:rPr>
          <w:lang w:val="el" w:eastAsia="el"/>
        </w:rPr>
        <w:t xml:space="preserve"> Η χρήση της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 Near Field Communication).</w:t>
      </w:r>
    </w:p>
    <w:p>
      <w:pPr>
        <w:pStyle w:val="MainText"/>
        <w:spacing w:before="120" w:after="0"/>
        <w:rPr>
          <w:lang w:val="el" w:eastAsia="el"/>
        </w:rPr>
      </w:pPr>
      <w:r>
        <w:rPr>
          <w:b/>
          <w:bCs/>
          <w:lang w:val="el" w:eastAsia="el"/>
        </w:rPr>
        <w:t>7.</w:t>
      </w:r>
      <w:r>
        <w:rPr>
          <w:lang w:val="el" w:eastAsia="el"/>
        </w:rPr>
        <w:t xml:space="preserve"> Κατόπιν της διενέργειας των πληρωμών των ενισχύσεων, η Κ.τ.Π. Μ.Α.Ε. αποστέλλει αυτοματοποιημένο μήνυμα στη διεύθυνση ηλεκτρονικού ταχυδρομείου του δικαιούχου που έχει δηλωθεί στην αίτηση για τη λήψη της οικονομικής διευκόλυνσης, για την επιτυχή πίστωση της ενίσχυσης που καταβλήθηκε ή ενημέρωση σε περίπτωση απόρριψής της.</w:t>
      </w:r>
    </w:p>
    <w:p>
      <w:pPr>
        <w:pStyle w:val="MainText"/>
        <w:spacing w:before="120" w:after="0"/>
        <w:rPr>
          <w:lang w:val="el" w:eastAsia="el"/>
        </w:rPr>
      </w:pPr>
      <w:r>
        <w:rPr>
          <w:b/>
          <w:bCs/>
          <w:lang w:val="el" w:eastAsia="el"/>
        </w:rPr>
        <w:t>8.</w:t>
      </w:r>
      <w:r>
        <w:rPr>
          <w:lang w:val="el" w:eastAsia="el"/>
        </w:rPr>
        <w:t xml:space="preserve"> Η ψηφιακή χρεωστική κάρτα του δικαιούχου παραμένει ενεργοποιημένη για δύο (2) έτη από τον επόμενο μήνα της έκδοσής της, μετά την πάροδο των οποίων το πιστωτικό ίδρυμα ή ο χρηματοπιστωτικός οργανισμός υποχρεούται άμεσα να την απενεργοποιήσει.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επιστροφής αδιάθετων υπολοίπων</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την παρ. 8 του άρθρου 5 της παρούσας,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 προκειμένου να αποδοθεί, στο Ελληνικό Δημόσιο.</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 δικαιούχο αποκλείεται.</w:t>
      </w:r>
    </w:p>
    <w:p>
      <w:pPr>
        <w:pStyle w:val="MainText"/>
        <w:spacing w:before="120" w:after="0"/>
        <w:rPr>
          <w:lang w:val="el" w:eastAsia="el"/>
        </w:rPr>
      </w:pPr>
      <w:r>
        <w:rPr>
          <w:b/>
          <w:bCs/>
          <w:lang w:val="el" w:eastAsia="el"/>
        </w:rPr>
        <w:t>3.</w:t>
      </w:r>
      <w:r>
        <w:rPr>
          <w:lang w:val="el" w:eastAsia="el"/>
        </w:rPr>
        <w:t xml:space="preserve"> Τυχόν αδιάθετα υπόλοιπα που καταβλήθηκαν από τον τακτικό προϋπολογισμό του Υπουργείου Ψηφιακής Διακυβέρνησης για τη χορήγηση της διευκόλυνσης ή για υποστηρικτικές ενέργειες, τα οποία παρέμειναν αδιάθετα, επιστρέφονται από την Κ.τ.Π. Μ.Α.Ε. στον κρατικό προϋπολογισμό (Α.Λ. Εσόδου 1590789001 «Λοιπές επιστροφές ποσών»).</w:t>
      </w:r>
    </w:p>
    <w:p>
      <w:pPr>
        <w:pStyle w:val="Heading6"/>
        <w:spacing w:before="240" w:after="240"/>
        <w:rPr>
          <w:lang w:val="el" w:eastAsia="el"/>
        </w:rPr>
      </w:pPr>
      <w:r>
        <w:rPr>
          <w:b/>
          <w:bCs/>
          <w:lang w:val="el" w:eastAsia="el"/>
        </w:rPr>
        <w:t>Άρθρο 6Α</w:t>
      </w:r>
    </w:p>
    <w:p>
      <w:pPr>
        <w:pStyle w:val="Heading6"/>
        <w:spacing w:before="240" w:after="240"/>
        <w:rPr>
          <w:lang w:val="el" w:eastAsia="el"/>
        </w:rPr>
      </w:pPr>
      <w:r>
        <w:rPr>
          <w:b/>
          <w:bCs/>
          <w:lang w:val="el" w:eastAsia="el"/>
        </w:rPr>
        <w:t>Σύσταση Μητρώου Επιχειρήσεων Προωθητικών Ενεργειών - Διαδικασία Εγγραφής των Επιχειρήσεων στο Μητρώο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Με σκοπό την προώθηση του Προγράμματος και με γνώμονα την παροχή μεγαλύτερου οφέλους προς τους δικαιούχους του, παρέχεται η δυνατότητα στις επιχειρήσεις που διαθέτουν συνδυαστικά τους Κωδικούς Κατηγορίας Εμπόρου (Merchant Category Codes - MCC) και τους Κωδικούς Αριθμούς Δραστηριότητας (Κ.Α.Δ.) σύμφωνα με τα Παραρτήματα Ι και ΙΙ της παρούσας να προσφέρουν για όσο διάστημα διαρκεί το Πρόγραμμα, ειδικές προωθητικές ενέργειες με την παροχή εκπτώσεων προς τους δικαιούχους, ανεξάρτητα από την πραγματοποίηση αγορών ή τη λήψη υπηρεσιών μέσω της ψηφιακής χρεωστικής κάρτας.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παροχή των ανωτέρω προωθητικών ενεργειών δύναται να γίνεται αποκλειστικά και μόνο με την ένταξη της επιχείρησης στο Μητρώο Επιχειρήσεων Προωθητικών Ενεργειών, που συστήνεται από την ΚτΠ Μ.Α.Ε., βάσει των όρων και των προϋποθέσεων που το διέπουν.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Οι εγγεγραμμένες επιχειρήσεις θα έχουν τη δυνατότητα εισαγωγής του Μοναδικού Κωδικού της Αίτησης του δικαιούχου, αποκλειστικά για την επιβεβαίωση ή μη της ιδιότητας του δικαιούχου, κατόπιν αναζήτησης που πραγματοποιείται μέσω Διεπαφής Προγραμματισμού Εφαρμογών (ΑΡΙ) ή μέσω Φόρμας Αναζήτησης (Web Based), όπως αναλυτικά περιγράφεται στην οικεία Πρόσκληση που δημοσιεύεται από την ΚτΠ Μ.Α.Ε.</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Συστήνεται από την ΚτΠ Μ.Α.Ε Μητρώο Επιχειρήσεων Προωθητικών Ενεργειών που δραστηριοποιούνται στους τομείς του τουρισμού, του πολιτισμού και των μεταφορών και φέρουν, τους Κωδικούς Κατηγορίας Εμπόρου (Merchant Category Codes - MCC) και τους Κωδικούς Αριθμούς Δραστηριότητας (Κ.Α.Δ.) που περιλαμβάνονται στο Παραρτήματα Ι και ΙΙ της κοινής υπουργικής απόφασης.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εγγραφή στο Μητρώο είναι δυνητική για τις επιχειρήσεις και γίνεται στο πλαίσιο προώθησης του Προγράμματος.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Δικαιούχοι των προωθητικών ενεργειών και των εκπτώσεων είναι οι ωφελούμενοι του Προγράμματος για όσο διάστημα είναι σε ισχύ η ψηφιακή χρεωστική τους κάρτα.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Οι προωθητικές ενέργειες και οι παρεχόμενες εκπτώσεις των επιχειρήσεων διαρκούν όσο διαρκεί το Πρόγραμμα και λήγουν με το πέρας αυτού.</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Βασικός όρος για την εγγραφή στο Μητρώο συνιστά η παροχή εκπτώσεων προς τους δικαιούχους για όσο διάστημα διαρκεί το Πρόγραμμα, ανεξάρτητα από την πραγματοποίηση αγορών ή τη λήψη υπηρεσιών μέσω της ψηφιακής χρεωστικής κάρτας.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Για την εγγραφή της επιχείρησης στο Μητρώο, θα προσκομίζονται τα δικαιολογητικά που θα προβλέπονται στην Πρόσκληση, η οποία θα δημοσιευθεί από την ΚτΠ Μ.Α.Ε.</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που η επιχείρηση δεν τηρεί τους προβλεπόμενους όρους της παρούσας, η ΚτΠ Μ.Α.Ε δύναται να επιβάλλει τις κυρώσεις που θα προβλέπονται στην Πρόσκληση.</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Μέσω της ειδικής εφαρμογής θα παρέχεται στις επιχειρήσεις του Μητρώου η δυνατότητα εισαγωγής του Μοναδικού Κωδικού της Αίτησης του δικαιούχου, για την επιβεβαίωση ή μη της ιδιότητας του δικαιούχου. Η αναζήτηση θα πραγματοποιείται μέσω Διεπαφής Προγραμματισμού Εφαρμογών (API) ή μέσω Φόρμας Αναζήτησης (Web Based). Αναλυτικές λεπτομέρειες για τον τρόπο αναζήτησης και την τεχνική υλοποίηση θα προσδιορίζονται στην Πρόσκληση που θα δημοσιευθεί από την ΚτΠ Μ.Α.Ε.</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Λοιπά στοιχεία για την εφαρμογή του παρόντος</w:t>
      </w:r>
    </w:p>
    <w:p>
      <w:pPr>
        <w:pStyle w:val="MainText"/>
        <w:spacing w:before="120" w:after="0"/>
        <w:rPr>
          <w:lang w:val="el" w:eastAsia="el"/>
        </w:rPr>
      </w:pPr>
      <w:r>
        <w:rPr>
          <w:b/>
          <w:bCs/>
          <w:lang w:val="el" w:eastAsia="el"/>
        </w:rPr>
        <w:t>1.</w:t>
      </w:r>
      <w:r>
        <w:rPr>
          <w:lang w:val="el" w:eastAsia="el"/>
        </w:rPr>
        <w:t xml:space="preserve"> Η Κ.τ.Π. Μ.Α.Ε.αναλαμβάνει τον τεχνικό σχεδιασμό, την υλοποίηση της ειδικής εφαρμογής, την οργάνωση των δεδομένων προσωπικού χαρακτήρα, καθώς και των δεδομένων από κάθε πηγή, την τήρηση υπό συνθήκες που διασφαλίζουν την ακεραιότητα, εμπιστευτικότητα και διαθεσιμότητα των δεδομένων και κάθε άλλο θέμα που αφορά στην ομαλή λειτουργία της εφαρμογής, σύμφωνα με τον Γενικό Κανονισμό για την Προστασία Δεδομένων (ΕΕ) 2016/679 του Ευρωπαϊκού Κοινοβουλίου και του Συμβουλίου της 27ης Απριλίου 2016 (Γ.Κ.Π.Δ., L 119) και τον ν. 4624/2019 (Α’ 137).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σκοπό του άρθρου 1. Τα ανωτέρω δεδομένα τηρούνται για τον ως άνω σκοπό για την περίοδο ισχύος της ψηφιακής χρεωστικής κάρτας, όπως προβλέπεται στην παρ. 8 του άρθρου 5 της παρούσας.</w:t>
      </w:r>
    </w:p>
    <w:p>
      <w:pPr>
        <w:pStyle w:val="MainText"/>
        <w:spacing w:before="120" w:after="0"/>
        <w:rPr>
          <w:lang w:val="el" w:eastAsia="el"/>
        </w:rPr>
      </w:pPr>
      <w:r>
        <w:rPr>
          <w:b/>
          <w:bCs/>
          <w:lang w:val="el" w:eastAsia="el"/>
        </w:rPr>
        <w:t>2.</w:t>
      </w:r>
      <w:r>
        <w:rPr>
          <w:lang w:val="el" w:eastAsia="el"/>
        </w:rPr>
        <w:t xml:space="preserve"> Η Κ.τ.Π. Μ.Α.Ε.ορίζεται υπεύθυνος επεξεργασίας της ειδικής εφαρμογής. Προς το σκοπό αυτό η Κ.τ.Π. Μ.Α.Ε.διασφαλίζει την προστασία των δικαιωμάτων των προσώπων, της ιδιωτικής ζωής και των δεδομένων προσωπικού χαρακτήρα, σύμφωνα ιδίως με Γ.Κ.Π.Δ. και τον ν. 4624/2019. Η Α.Α.Δ.Ε. αναλαμβάνει την ανάπτυξη των διαδικτυακών υπηρεσιών για την επαλήθευση του δικαιώματος της οικονομικής ενίσχυσης με βάση τα στοιχεία Μητρώου φορολογουμένων και μέσω του Κέντρου Διαλειτουργικότητας (ΚΕ.Δ.) της Γ.Γ.Π.Σ.Ψ.Δ. ενημερώνεται η ειδική εφαρμογή.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Κωδικοί Κατηγορίας Εμπόρου (Merchant Category Codes - MCC)</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5"/>
        <w:gridCol w:w="63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εμπόρου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έως 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εταιρίες,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μεταφορές / ακτοπλοϊκά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θαλάσσιων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αεροδρόμια /αεροσταθμοί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ταξιδιωτικά πρακτορεία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τροχόσπιτων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ηλεκτρονικά βιβλία, ταινίες, μουσική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βιβλιοπωλεία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κατασκηνώσεις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κάμπινγκς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ενοικιάσεις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σινεμά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αίθουσες χορού, σχολεία, στούντιο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θεατρικές επιχειρήσεις, πρακτορεία εισιτηρίων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ορχήστρες και μπάντες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και τουριστικές ατραξιόν, μουσεία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γυμναστηρίου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 αναψυχής</w:t>
            </w:r>
          </w:p>
        </w:tc>
      </w:tr>
    </w:tbl>
    <w:p>
      <w:pPr>
        <w:spacing w:before="240" w:after="240"/>
        <w:rPr>
          <w:lang w:val="el" w:eastAsia="el"/>
        </w:rPr>
      </w:pPr>
      <w:r>
        <w:rPr>
          <w:lang w:val="el" w:eastAsia="el"/>
        </w:rPr>
        <w:t> </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Κωδικοί Αριθμοί Δραστηριότητας (Κ.Α.Δ.)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1633/2025 10.04.2025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402/2023 05.12.2023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402/2023 05.12.2023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402/2023 05.12.2023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402/2023 05.12.2023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1633/2025 10.04.2025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