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Ψ3Α446ΜΠ3Ζ-5ΞΖ</w:t>
      </w:r>
    </w:p>
    <w:p>
      <w:pPr>
        <w:pStyle w:val="Title"/>
        <w:spacing w:before="120" w:after="360"/>
        <w:rPr>
          <w:lang w:val="el" w:eastAsia="el"/>
        </w:rPr>
      </w:pPr>
      <w:r>
        <w:rPr>
          <w:b/>
          <w:bCs/>
          <w:lang w:val="el" w:eastAsia="el"/>
        </w:rPr>
        <w:t>Αριθ. ΦΕΚ: Β’ 6523/16-11-2023</w:t>
      </w:r>
    </w:p>
    <w:p>
      <w:pPr>
        <w:pStyle w:val="Title"/>
        <w:spacing w:before="120" w:after="360"/>
        <w:rPr>
          <w:lang w:val="el" w:eastAsia="el"/>
        </w:rPr>
      </w:pPr>
      <w:r>
        <w:rPr>
          <w:b/>
          <w:bCs/>
          <w:lang w:val="el" w:eastAsia="el"/>
        </w:rPr>
        <w:t>Αθήνα, 21/09/2023</w:t>
      </w:r>
    </w:p>
    <w:p>
      <w:pPr>
        <w:pStyle w:val="Title"/>
        <w:spacing w:before="120" w:after="360"/>
        <w:rPr>
          <w:lang w:val="el" w:eastAsia="el"/>
        </w:rPr>
      </w:pPr>
      <w:r>
        <w:rPr>
          <w:b/>
          <w:bCs/>
          <w:lang w:val="el" w:eastAsia="el"/>
        </w:rPr>
        <w:t>Αριθ. Πρωτ.: Α.1178</w:t>
      </w:r>
    </w:p>
    <w:p>
      <w:pPr>
        <w:pStyle w:val="Title"/>
        <w:spacing w:before="120" w:after="360"/>
        <w:rPr>
          <w:lang w:val="el" w:eastAsia="el"/>
        </w:rPr>
      </w:pPr>
      <w:r>
        <w:rPr>
          <w:b/>
          <w:bCs/>
          <w:lang w:val="el" w:eastAsia="el"/>
        </w:rPr>
        <w:t>ΠΡΟΣ: Ως πίνακας διανομής</w:t>
      </w:r>
    </w:p>
    <w:p>
      <w:pPr>
        <w:pStyle w:val="Title"/>
        <w:spacing w:before="120" w:after="360"/>
        <w:rPr>
          <w:lang w:val="el" w:eastAsia="el"/>
        </w:rPr>
      </w:pPr>
      <w:r>
        <w:rPr>
          <w:b/>
          <w:bCs/>
          <w:lang w:val="el" w:eastAsia="el"/>
        </w:rPr>
        <w:t>Α) ΓΕΝΙΚΗ Δ/ΝΣΗ Γ.Χ.Κ.</w:t>
      </w:r>
    </w:p>
    <w:p>
      <w:pPr>
        <w:pStyle w:val="Title"/>
        <w:spacing w:before="120" w:after="360"/>
        <w:rPr>
          <w:lang w:val="el" w:eastAsia="el"/>
        </w:rPr>
      </w:pPr>
      <w:r>
        <w:rPr>
          <w:b/>
          <w:bCs/>
          <w:lang w:val="el" w:eastAsia="el"/>
        </w:rPr>
        <w:t>1. ΑΝΩΤΑΤΟ ΧΗΜΙΚΟ ΣΥΜΒΟΥΛΙΟ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06"/>
        <w:gridCol w:w="44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Ταχ. Δ/νση</w:t>
            </w:r>
          </w:p>
          <w:p>
            <w:pPr>
              <w:spacing w:before="240" w:after="240"/>
              <w:rPr>
                <w:b w:val="0"/>
                <w:bCs w:val="0"/>
                <w:i w:val="0"/>
                <w:iCs w:val="0"/>
                <w:smallCaps w:val="0"/>
                <w:color w:val="000000"/>
                <w:lang w:val="el" w:eastAsia="el"/>
              </w:rPr>
            </w:pPr>
            <w:r>
              <w:rPr>
                <w:b/>
                <w:bCs/>
                <w:i w:val="0"/>
                <w:iCs w:val="0"/>
                <w:smallCaps w:val="0"/>
                <w:color w:val="000000"/>
                <w:lang w:val="el" w:eastAsia="el"/>
              </w:rPr>
              <w:t>Ταχ. Κωδ.</w:t>
            </w:r>
          </w:p>
          <w:p>
            <w:pPr>
              <w:spacing w:before="240"/>
              <w:rPr>
                <w:b w:val="0"/>
                <w:bCs w:val="0"/>
                <w:i w:val="0"/>
                <w:iCs w:val="0"/>
                <w:smallCaps w:val="0"/>
                <w:color w:val="000000"/>
                <w:lang w:val="el" w:eastAsia="el"/>
              </w:rPr>
            </w:pPr>
            <w:r>
              <w:rPr>
                <w:b/>
                <w:bCs/>
                <w:i w:val="0"/>
                <w:iCs w:val="0"/>
                <w:smallCaps w:val="0"/>
                <w:color w:val="000000"/>
                <w:lang w:val="el" w:eastAsia="el"/>
              </w:rPr>
              <w:t>Πληροφορίες Τηλέφωνο Ε-mail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Τσόχα 16, Αθήνα</w:t>
            </w:r>
          </w:p>
          <w:p>
            <w:pPr>
              <w:spacing w:before="240" w:after="240"/>
              <w:rPr>
                <w:b w:val="0"/>
                <w:bCs w:val="0"/>
                <w:i w:val="0"/>
                <w:iCs w:val="0"/>
                <w:smallCaps w:val="0"/>
                <w:color w:val="000000"/>
                <w:lang w:val="el" w:eastAsia="el"/>
              </w:rPr>
            </w:pPr>
            <w:r>
              <w:rPr>
                <w:b/>
                <w:bCs/>
                <w:i w:val="0"/>
                <w:iCs w:val="0"/>
                <w:smallCaps w:val="0"/>
                <w:color w:val="000000"/>
                <w:lang w:val="el" w:eastAsia="el"/>
              </w:rPr>
              <w:t>115 21</w:t>
            </w:r>
          </w:p>
          <w:p>
            <w:pPr>
              <w:spacing w:before="240" w:after="240"/>
              <w:rPr>
                <w:b w:val="0"/>
                <w:bCs w:val="0"/>
                <w:i w:val="0"/>
                <w:iCs w:val="0"/>
                <w:smallCaps w:val="0"/>
                <w:color w:val="000000"/>
                <w:lang w:val="el" w:eastAsia="el"/>
              </w:rPr>
            </w:pPr>
            <w:r>
              <w:rPr>
                <w:b/>
                <w:bCs/>
                <w:i w:val="0"/>
                <w:iCs w:val="0"/>
                <w:smallCaps w:val="0"/>
                <w:color w:val="000000"/>
                <w:lang w:val="el" w:eastAsia="el"/>
              </w:rPr>
              <w:t>Ελένη Μπανιά-Γεωργοπούλου</w:t>
            </w:r>
          </w:p>
          <w:p>
            <w:pPr>
              <w:spacing w:before="240" w:after="240"/>
              <w:rPr>
                <w:b w:val="0"/>
                <w:bCs w:val="0"/>
                <w:i w:val="0"/>
                <w:iCs w:val="0"/>
                <w:smallCaps w:val="0"/>
                <w:color w:val="000000"/>
                <w:lang w:val="el" w:eastAsia="el"/>
              </w:rPr>
            </w:pPr>
            <w:r>
              <w:rPr>
                <w:b/>
                <w:bCs/>
                <w:i w:val="0"/>
                <w:iCs w:val="0"/>
                <w:smallCaps w:val="0"/>
                <w:color w:val="000000"/>
                <w:lang w:val="el" w:eastAsia="el"/>
              </w:rPr>
              <w:t>210-6479244,230</w:t>
            </w:r>
          </w:p>
          <w:p>
            <w:pPr>
              <w:spacing w:before="240"/>
              <w:rPr>
                <w:b w:val="0"/>
                <w:bCs w:val="0"/>
                <w:i w:val="0"/>
                <w:iCs w:val="0"/>
                <w:smallCaps w:val="0"/>
                <w:color w:val="000000"/>
                <w:lang w:val="el" w:eastAsia="el"/>
              </w:rPr>
            </w:pPr>
            <w:hyperlink r:id="rId4" w:history="1">
              <w:r>
                <w:rPr>
                  <w:rStyle w:val="Hyperlink"/>
                  <w:b/>
                  <w:bCs/>
                  <w:i w:val="0"/>
                  <w:iCs w:val="0"/>
                  <w:smallCaps w:val="0"/>
                  <w:color w:val="0000EE"/>
                  <w:u w:color="0000EE"/>
                  <w:lang w:val="el" w:eastAsia="el"/>
                </w:rPr>
                <w:t>axs@aade.gr</w:t>
              </w:r>
            </w:hyperlink>
          </w:p>
        </w:tc>
      </w:tr>
    </w:tbl>
    <w:p>
      <w:pPr>
        <w:pStyle w:val="PreambelText"/>
        <w:spacing w:before="240" w:after="240"/>
        <w:rPr>
          <w:lang w:val="el" w:eastAsia="el"/>
        </w:rPr>
      </w:pPr>
      <w:r>
        <w:rPr>
          <w:b/>
          <w:bCs/>
          <w:lang w:val="el" w:eastAsia="el"/>
        </w:rPr>
        <w:t>2. Δ/ΝΣΗ ΕΝΕΡΓΕΙΑΚΩΝ, ΒΙΟΜΗΧΑΝΙΚΩΝ</w:t>
      </w:r>
    </w:p>
    <w:p>
      <w:pPr>
        <w:pStyle w:val="PreambelText"/>
        <w:spacing w:before="240" w:after="240"/>
        <w:rPr>
          <w:lang w:val="el" w:eastAsia="el"/>
        </w:rPr>
      </w:pPr>
      <w:r>
        <w:rPr>
          <w:b/>
          <w:bCs/>
          <w:lang w:val="el" w:eastAsia="el"/>
        </w:rPr>
        <w:t>&amp; ΧΗΜΙΚΩΝ ΠΡΟΪΟΝΤΩΝ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785"/>
        <w:gridCol w:w="293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ΤΜΗΜΑ Α’ Ταχ. Δ/νση Ταχ. Κωδ.</w:t>
            </w:r>
          </w:p>
          <w:p>
            <w:pPr>
              <w:spacing w:before="240" w:after="240"/>
              <w:rPr>
                <w:b w:val="0"/>
                <w:bCs w:val="0"/>
                <w:i w:val="0"/>
                <w:iCs w:val="0"/>
                <w:smallCaps w:val="0"/>
                <w:color w:val="000000"/>
                <w:lang w:val="el" w:eastAsia="el"/>
              </w:rPr>
            </w:pPr>
            <w:r>
              <w:rPr>
                <w:b/>
                <w:bCs/>
                <w:i w:val="0"/>
                <w:iCs w:val="0"/>
                <w:smallCaps w:val="0"/>
                <w:color w:val="000000"/>
                <w:lang w:val="el" w:eastAsia="el"/>
              </w:rPr>
              <w:t>Πληροφορίες Τηλέφωνο</w:t>
            </w:r>
          </w:p>
          <w:p>
            <w:pPr>
              <w:spacing w:before="240"/>
              <w:rPr>
                <w:b w:val="0"/>
                <w:bCs w:val="0"/>
                <w:i w:val="0"/>
                <w:iCs w:val="0"/>
                <w:smallCaps w:val="0"/>
                <w:color w:val="000000"/>
                <w:lang w:val="el" w:eastAsia="el"/>
              </w:rPr>
            </w:pPr>
            <w:r>
              <w:rPr>
                <w:b/>
                <w:bCs/>
                <w:i w:val="0"/>
                <w:iCs w:val="0"/>
                <w:smallCaps w:val="0"/>
                <w:color w:val="000000"/>
                <w:lang w:val="el" w:eastAsia="el"/>
              </w:rPr>
              <w:t>Ε-mail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Τσόχα 16, Αθήνα</w:t>
            </w:r>
          </w:p>
          <w:p>
            <w:pPr>
              <w:spacing w:before="240" w:after="240"/>
              <w:rPr>
                <w:b w:val="0"/>
                <w:bCs w:val="0"/>
                <w:i w:val="0"/>
                <w:iCs w:val="0"/>
                <w:smallCaps w:val="0"/>
                <w:color w:val="000000"/>
                <w:lang w:val="el" w:eastAsia="el"/>
              </w:rPr>
            </w:pPr>
            <w:r>
              <w:rPr>
                <w:b/>
                <w:bCs/>
                <w:i w:val="0"/>
                <w:iCs w:val="0"/>
                <w:smallCaps w:val="0"/>
                <w:color w:val="000000"/>
                <w:lang w:val="el" w:eastAsia="el"/>
              </w:rPr>
              <w:t>115 21</w:t>
            </w:r>
          </w:p>
          <w:p>
            <w:pPr>
              <w:spacing w:before="240" w:after="240"/>
              <w:rPr>
                <w:b w:val="0"/>
                <w:bCs w:val="0"/>
                <w:i w:val="0"/>
                <w:iCs w:val="0"/>
                <w:smallCaps w:val="0"/>
                <w:color w:val="000000"/>
                <w:lang w:val="el" w:eastAsia="el"/>
              </w:rPr>
            </w:pPr>
            <w:r>
              <w:rPr>
                <w:b/>
                <w:bCs/>
                <w:i w:val="0"/>
                <w:iCs w:val="0"/>
                <w:smallCaps w:val="0"/>
                <w:color w:val="000000"/>
                <w:lang w:val="el" w:eastAsia="el"/>
              </w:rPr>
              <w:t>Ν.Νομικός</w:t>
            </w:r>
          </w:p>
          <w:p>
            <w:pPr>
              <w:spacing w:before="240" w:after="240"/>
              <w:rPr>
                <w:b w:val="0"/>
                <w:bCs w:val="0"/>
                <w:i w:val="0"/>
                <w:iCs w:val="0"/>
                <w:smallCaps w:val="0"/>
                <w:color w:val="000000"/>
                <w:lang w:val="el" w:eastAsia="el"/>
              </w:rPr>
            </w:pPr>
            <w:r>
              <w:rPr>
                <w:b/>
                <w:bCs/>
                <w:i w:val="0"/>
                <w:iCs w:val="0"/>
                <w:smallCaps w:val="0"/>
                <w:color w:val="000000"/>
                <w:lang w:val="el" w:eastAsia="el"/>
              </w:rPr>
              <w:t>216479247</w:t>
            </w:r>
          </w:p>
          <w:p>
            <w:pPr>
              <w:spacing w:before="240"/>
              <w:rPr>
                <w:b w:val="0"/>
                <w:bCs w:val="0"/>
                <w:i w:val="0"/>
                <w:iCs w:val="0"/>
                <w:smallCaps w:val="0"/>
                <w:color w:val="000000"/>
                <w:lang w:val="el" w:eastAsia="el"/>
              </w:rPr>
            </w:pPr>
            <w:hyperlink r:id="rId5" w:history="1">
              <w:r>
                <w:rPr>
                  <w:rStyle w:val="Hyperlink"/>
                  <w:b/>
                  <w:bCs/>
                  <w:i w:val="0"/>
                  <w:iCs w:val="0"/>
                  <w:smallCaps w:val="0"/>
                  <w:color w:val="0000EE"/>
                  <w:u w:color="0000EE"/>
                  <w:lang w:val="el" w:eastAsia="el"/>
                </w:rPr>
                <w:t>devxp.gcsl@aade.gr</w:t>
              </w:r>
            </w:hyperlink>
          </w:p>
        </w:tc>
      </w:tr>
    </w:tbl>
    <w:p>
      <w:pPr>
        <w:pStyle w:val="PreambelText"/>
        <w:spacing w:before="240" w:after="240"/>
        <w:rPr>
          <w:lang w:val="el" w:eastAsia="el"/>
        </w:rPr>
      </w:pPr>
      <w:r>
        <w:rPr>
          <w:b/>
          <w:bCs/>
          <w:lang w:val="el" w:eastAsia="el"/>
        </w:rPr>
        <w:t>Β) ΓΕΝΙΚΗ Δ/ΝΣΗ ΤΕΛΩΝΕΙΩΝ &amp; Ε.Φ.Κ.</w:t>
      </w:r>
    </w:p>
    <w:p>
      <w:pPr>
        <w:pStyle w:val="PreambelText"/>
        <w:spacing w:before="240" w:after="240"/>
        <w:rPr>
          <w:lang w:val="el" w:eastAsia="el"/>
        </w:rPr>
      </w:pPr>
      <w:r>
        <w:rPr>
          <w:b/>
          <w:bCs/>
          <w:lang w:val="el" w:eastAsia="el"/>
        </w:rPr>
        <w:t>Δ/ΝΣΗ Ε.Φ.Κ. &amp; Φ.Π.Α.</w:t>
      </w:r>
    </w:p>
    <w:p>
      <w:pPr>
        <w:pStyle w:val="PreambelText"/>
        <w:spacing w:before="240" w:after="240"/>
        <w:rPr>
          <w:lang w:val="el" w:eastAsia="el"/>
        </w:rPr>
      </w:pPr>
      <w:r>
        <w:rPr>
          <w:b/>
          <w:bCs/>
          <w:lang w:val="el" w:eastAsia="el"/>
        </w:rPr>
        <w:t>Καρ. Σερβίας 10 101 84</w:t>
      </w:r>
    </w:p>
    <w:p>
      <w:pPr>
        <w:pStyle w:val="PreambelText"/>
        <w:spacing w:before="240" w:after="240"/>
        <w:rPr>
          <w:lang w:val="el" w:eastAsia="el"/>
        </w:rPr>
      </w:pPr>
      <w:r>
        <w:rPr>
          <w:b/>
          <w:bCs/>
          <w:lang w:val="el" w:eastAsia="el"/>
        </w:rPr>
        <w:t xml:space="preserve">Κ.Κοράκης, Α.Μουζακίτου 2106987420-423 </w:t>
      </w:r>
      <w:hyperlink r:id="rId6" w:history="1">
        <w:r>
          <w:rPr>
            <w:rStyle w:val="Hyperlink"/>
            <w:b/>
            <w:bCs/>
            <w:color w:val="0000EE"/>
            <w:u w:color="0000EE"/>
            <w:lang w:val="el" w:eastAsia="el"/>
          </w:rPr>
          <w:t>finexcis@aade.gr</w:t>
        </w:r>
      </w:hyperlink>
      <w:hyperlink r:id="rId7" w:history="1">
        <w:r>
          <w:rPr>
            <w:rStyle w:val="Hyperlink"/>
            <w:b/>
            <w:bCs/>
            <w:color w:val="0000EE"/>
            <w:u w:color="0000EE"/>
            <w:lang w:val="el" w:eastAsia="el"/>
          </w:rPr>
          <w:t>www.aade.gr</w:t>
        </w:r>
      </w:hyperlink>
    </w:p>
    <w:p>
      <w:pPr>
        <w:pStyle w:val="PreambelText"/>
        <w:spacing w:before="240" w:after="240"/>
        <w:rPr>
          <w:lang w:val="el" w:eastAsia="el"/>
        </w:rPr>
      </w:pPr>
      <w:r>
        <w:rPr>
          <w:b/>
          <w:bCs/>
          <w:u w:val="single"/>
          <w:lang w:val="el" w:eastAsia="el"/>
        </w:rPr>
        <w:t>ΘΕΜΑ: “Ενσωμάτωση στο εθνικό δίκαιο της Εκτελεστικής Απόφασης (ΕΕ) 2022/197 της Επιτροπής της 17.1.2022 για τον καθορισμό του ACCUTRACETM PLUS ως κοινού δείκτη φορολογικής σήμανσης του πετρελαίου θέρμανσης και των πετρελαίων εσωτερικής καύσης πλοίων και ντίζελ πλοίων, καθώς και του φωτιστικού πετρελαίου (κηροζίνη θέρμανσης), μέθοδοι δοκιμής για τον προσδιορισμό του και σχετικές τεχνικές απαιτήσεις”</w:t>
      </w:r>
    </w:p>
    <w:p>
      <w:pPr>
        <w:pStyle w:val="enacting"/>
        <w:spacing w:before="120" w:after="0"/>
        <w:rPr>
          <w:lang w:val="el" w:eastAsia="el"/>
        </w:rPr>
      </w:pPr>
      <w:r>
        <w:rPr>
          <w:b/>
          <w:bCs/>
          <w:u w:val="single"/>
          <w:lang w:val="el" w:eastAsia="el"/>
        </w:rPr>
        <w:t>ΑΠΟΦΑΣΗ</w:t>
      </w:r>
      <w:r>
        <w:rPr>
          <w:u w:val="single"/>
          <w:lang w:val="el" w:eastAsia="el"/>
        </w:rPr>
        <w:br/>
      </w:r>
      <w:r>
        <w:rPr>
          <w:b/>
          <w:bCs/>
          <w:u w:val="single"/>
          <w:lang w:val="el" w:eastAsia="el"/>
        </w:rPr>
        <w:t xml:space="preserve">ΟΙ ΥΦΥΠΟΥΡΓΟΙΕΘΝΙΚΗΣ ΟΙΚΟΝΟΜΙΑΣ &amp; </w:t>
      </w:r>
      <w:r>
        <w:rPr>
          <w:u w:val="single"/>
          <w:lang w:val="el" w:eastAsia="el"/>
        </w:rPr>
        <w:br/>
      </w:r>
      <w:r>
        <w:rPr>
          <w:b/>
          <w:bCs/>
          <w:u w:val="single"/>
          <w:lang w:val="el" w:eastAsia="el"/>
        </w:rPr>
        <w:t>ΟΙΚΟΝΟΜΙΚΩΝΚΑΙΠΕΡΙΒΑΛΛΟΝΤΟΣ &amp; ΕΝΕΡΓΕΙΑΣ</w:t>
      </w:r>
    </w:p>
    <w:p>
      <w:pPr>
        <w:pStyle w:val="PreambelText"/>
        <w:spacing w:before="240" w:after="240"/>
        <w:rPr>
          <w:lang w:val="el" w:eastAsia="el"/>
        </w:rPr>
      </w:pPr>
      <w:r>
        <w:rPr>
          <w:b/>
          <w:bCs/>
          <w:u w:val="single"/>
          <w:lang w:val="el" w:eastAsia="el"/>
        </w:rPr>
        <w:t>Έχοντας υπόψη:</w:t>
      </w:r>
    </w:p>
    <w:p>
      <w:pPr>
        <w:pStyle w:val="PreambelText"/>
        <w:spacing w:before="240" w:after="240"/>
        <w:rPr>
          <w:lang w:val="el" w:eastAsia="el"/>
        </w:rPr>
      </w:pPr>
      <w:r>
        <w:rPr>
          <w:b/>
          <w:bCs/>
          <w:u w:val="single"/>
          <w:lang w:val="el" w:eastAsia="el"/>
        </w:rPr>
        <w:t>1. Τις διατάξεις :</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του τέταρτου εδαφίου της παρ. 8 του άρθρου 6 του ν.4328/1929 «Περί συστάσεως Γενικού Χημείου του Κράτους» (Α΄ 272), όπως αντικαταστάθηκε με την παρ. 6 του άρθρου 11 του ν. 2343/1995 (Α΄ 211),</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του άρθρου 4 του β.δ. της 31ης Οκτωβρίου 1929 «Περί κανονισμού της λειτουργίας και των εργασιών του Συμβουλίου της Χημικής Υπηρεσίας» (Α΄ 391</w:t>
      </w:r>
      <w:r>
        <w:rPr>
          <w:b/>
          <w:bCs/>
          <w:i/>
          <w:iCs/>
          <w:u w:val="single"/>
          <w:lang w:val="el" w:eastAsia="el"/>
        </w:rPr>
        <w:t>)</w:t>
      </w:r>
      <w:r>
        <w:rPr>
          <w:b/>
          <w:bCs/>
          <w:u w:val="single"/>
          <w:lang w:val="el" w:eastAsia="el"/>
        </w:rPr>
        <w:t>,</w:t>
      </w:r>
    </w:p>
    <w:p>
      <w:pPr>
        <w:pStyle w:val="StructureList1"/>
        <w:spacing w:before="120" w:after="0"/>
        <w:rPr>
          <w:lang w:val="el" w:eastAsia="el"/>
        </w:rPr>
      </w:pPr>
      <w:r>
        <w:rPr>
          <w:u w:val="single"/>
          <w:lang w:val="el" w:eastAsia="el"/>
        </w:rPr>
        <w:t>γ)</w:t>
      </w:r>
      <w:r>
        <w:rPr>
          <w:u w:val="single"/>
          <w:lang w:val="en" w:eastAsia="en"/>
        </w:rPr>
        <w:tab/>
      </w:r>
      <w:r>
        <w:rPr>
          <w:b/>
          <w:bCs/>
          <w:u w:val="single"/>
          <w:lang w:val="el" w:eastAsia="el"/>
        </w:rPr>
        <w:t>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της περ. δ) της παρ. 2 του άρθρου 2, του άρθρου 7, της παρ. 1 του άρθρου 14 και του άρθρου 41 αυτού, δ) του ν. 4622/2019 «Επιτελικό Κράτος, οργάνωση, λειτουργία και διαφάνεια της Κυβέρνησης, των κυβερνητικών οργάνων και της κεντρικής δημόσιας διοίκησης» (Α΄133) ε) των άρθρων 89 και 122 του π. δ. 284/1988 «Οργανισμός του Υπουργείου Οικονομικών» (Α΄ 128), σε συνδυασμό με το τρίτο εδάφιο της παρ. 7 του άρθρου 41 του ν. 4389/2016 (Α΄94), και την υπ’ αρ. 1078204/927/0006Α/6-8-1992 κοινή απόφαση των Υπουργών Προεδρίας και Οικονομικών «Περιορισμός Συλλογικών Οργάνων του Υπουργείου Οικονομικών» (Β΄ 517). στ) του άρθρου 90 του Κώδικα Νομοθεσίας για την Κυβέρνηση και τα κυβερνητικά Όργανα, που κυρώθηκε με το άρθρο πρώτο του π.δ. 63/2005 «Κωδικοποίηση της Νομοθεσίας για την Κυβέρνηση και τα κυβερνητικά όργανα» (Α΄98), σε συνδυασμό με την παρ. 22 του άρθρου 119 του ν. 4622/2019 (Α΄133), ζ) του π.δ. 142/2017 «Οργανισμός Υπουργείου Οικονομικών» (Α’ 181), η) του π.δ. 132/2017 «Οργανισμός Υπουργείου Περιβάλλοντος και Ενέργειας (Υ.Π.Ε.Ν.)» (Α’160), θ) του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w:t>
      </w:r>
    </w:p>
    <w:p>
      <w:pPr>
        <w:pStyle w:val="StructureList1"/>
        <w:spacing w:before="120" w:after="0"/>
        <w:rPr>
          <w:lang w:val="el" w:eastAsia="el"/>
        </w:rPr>
      </w:pPr>
      <w:r>
        <w:rPr>
          <w:u w:val="single"/>
          <w:lang w:val="el" w:eastAsia="el"/>
        </w:rPr>
        <w:t>ι)</w:t>
      </w:r>
      <w:r>
        <w:rPr>
          <w:u w:val="single"/>
          <w:lang w:val="en" w:eastAsia="en"/>
        </w:rPr>
        <w:tab/>
      </w:r>
      <w:r>
        <w:rPr>
          <w:b/>
          <w:bCs/>
          <w:u w:val="single"/>
          <w:lang w:val="el" w:eastAsia="el"/>
        </w:rPr>
        <w:t>του π.δ. 79/2023 «Διορισμός Υπουργών, Αναπληρωτών Υπουργών και Υφυπουργών» (Α΄ 131), ια) του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(Α΄139).</w:t>
      </w:r>
    </w:p>
    <w:p>
      <w:pPr>
        <w:pStyle w:val="PreambelText"/>
        <w:spacing w:before="240" w:after="240"/>
        <w:rPr>
          <w:lang w:val="el" w:eastAsia="el"/>
        </w:rPr>
      </w:pPr>
      <w:r>
        <w:rPr>
          <w:u w:val="single"/>
          <w:lang w:val="el" w:eastAsia="el"/>
        </w:rPr>
        <w:t xml:space="preserve">2. </w:t>
      </w:r>
      <w:r>
        <w:rPr>
          <w:b/>
          <w:bCs/>
          <w:u w:val="single"/>
          <w:lang w:val="el" w:eastAsia="el"/>
        </w:rPr>
        <w:t>Την υπό στοιχεία Υ2/9.7.2019 απόφαση του Πρωθυπουργού «Σύσταση Θέσεων Αναπληρωτή Υπουργού και Υφυπουργών» (Β΄ 2901).</w:t>
      </w:r>
    </w:p>
    <w:p>
      <w:pPr>
        <w:pStyle w:val="PreambelText"/>
        <w:spacing w:before="240" w:after="240"/>
        <w:rPr>
          <w:lang w:val="el" w:eastAsia="el"/>
        </w:rPr>
      </w:pPr>
      <w:r>
        <w:rPr>
          <w:u w:val="single"/>
          <w:lang w:val="el" w:eastAsia="el"/>
        </w:rPr>
        <w:t xml:space="preserve">3. </w:t>
      </w:r>
      <w:r>
        <w:rPr>
          <w:b/>
          <w:bCs/>
          <w:u w:val="single"/>
          <w:lang w:val="el" w:eastAsia="el"/>
        </w:rPr>
        <w:t>Την υπ’ αρ. 102916 ΕΞ2023/10.07.2023 κοινή απόφαση του Πρωθυπουργού και του Υπουργού Οικονομικών «Ανάθεση αρμοδιοτήτων στον Υφυπουργό Οικονομικών Θεοχάρη Θεοχάρη» (Β’ 4441).</w:t>
      </w:r>
    </w:p>
    <w:p>
      <w:pPr>
        <w:pStyle w:val="PreambelText"/>
        <w:spacing w:before="240" w:after="240"/>
        <w:rPr>
          <w:lang w:val="el" w:eastAsia="el"/>
        </w:rPr>
      </w:pPr>
      <w:r>
        <w:rPr>
          <w:u w:val="single"/>
          <w:lang w:val="el" w:eastAsia="el"/>
        </w:rPr>
        <w:t xml:space="preserve">4. </w:t>
      </w:r>
      <w:r>
        <w:rPr>
          <w:b/>
          <w:bCs/>
          <w:u w:val="single"/>
          <w:lang w:val="el" w:eastAsia="el"/>
        </w:rPr>
        <w:t>Την υπ’ αρ. 74104/5570 κοινή απόφαση του Πρωθυπουργού και του Υπουργού Περιβάλλοντος και Ενέργειας «Ανάθεση αρμοδιοτήτων στην Υφυπουργό Περιβάλλοντος και Ενέργειας, Αλεξάνδρα Σδούκου».</w:t>
      </w:r>
    </w:p>
    <w:p>
      <w:pPr>
        <w:pStyle w:val="PreambelText"/>
        <w:spacing w:before="240" w:after="240"/>
        <w:rPr>
          <w:lang w:val="el" w:eastAsia="el"/>
        </w:rPr>
      </w:pPr>
      <w:r>
        <w:rPr>
          <w:u w:val="single"/>
          <w:lang w:val="el" w:eastAsia="el"/>
        </w:rPr>
        <w:t xml:space="preserve">5. </w:t>
      </w:r>
      <w:r>
        <w:rPr>
          <w:b/>
          <w:bCs/>
          <w:u w:val="single"/>
          <w:lang w:val="el" w:eastAsia="el"/>
        </w:rPr>
        <w:t>Την υπό στοιχεία Δ. ΟΡΓ. Α 1125859 ΕΞ 2020/23-10-2020 απόφαση του Διοικητή της Ανεξάρτητης Αρχής Δημοσίων Εσόδων, με θέμα «Οργανισμός της Ανεξάρτητης Αρχής Δημοσίων Εσόδων (Α.Α.Δ.Ε.)» (Β΄ 4738).</w:t>
      </w:r>
    </w:p>
    <w:p>
      <w:pPr>
        <w:pStyle w:val="PreambelText"/>
        <w:spacing w:before="240" w:after="240"/>
        <w:rPr>
          <w:lang w:val="el" w:eastAsia="el"/>
        </w:rPr>
      </w:pPr>
      <w:r>
        <w:rPr>
          <w:u w:val="single"/>
          <w:lang w:val="el" w:eastAsia="el"/>
        </w:rPr>
        <w:t xml:space="preserve">6. </w:t>
      </w:r>
      <w:r>
        <w:rPr>
          <w:b/>
          <w:bCs/>
          <w:u w:val="single"/>
          <w:lang w:val="el" w:eastAsia="el"/>
        </w:rPr>
        <w:t>Την υπ’ αρ. 1 της 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ν.4389/2016 και τις αποφάσεις υπ’ αρ. 39/3/30.11.2017 (Υ.Ο.Δ.Δ. 689) του Συμβουλίου Διοίκησης της Α.Α.Δ.Ε. και υπ’ αρ. 5294ΕΞ2020/17.01.2020 (Υ.Ο.Δ.Δ. 27) του Υπουργού Οικονομικών με θέμα «Ανανέωση της θητείας του Διοικητή της Ανεξάρτητης Αρχής Δημοσίων Εσόδων».</w:t>
      </w:r>
    </w:p>
    <w:p>
      <w:pPr>
        <w:pStyle w:val="PreambelText"/>
        <w:spacing w:before="240" w:after="240"/>
        <w:rPr>
          <w:lang w:val="el" w:eastAsia="el"/>
        </w:rPr>
      </w:pPr>
      <w:r>
        <w:rPr>
          <w:u w:val="single"/>
          <w:lang w:val="el" w:eastAsia="el"/>
        </w:rPr>
        <w:t xml:space="preserve">7. </w:t>
      </w:r>
      <w:r>
        <w:rPr>
          <w:b/>
          <w:bCs/>
          <w:u w:val="single"/>
          <w:lang w:val="el" w:eastAsia="el"/>
        </w:rPr>
        <w:t>Τις υπό στοιχεία Δ.ΟΡΓ.Β 1064363ΕΞ2022/18-7-2022 (Υ.Ο.Δ.Δ. 648) και Δ.ΟΡΓ.Β 1010862ΕΞ2023/24-1-2023 (Υ.Ο.Δ.Δ. 69) αποφάσεις του Διοικητή της Ανεξάρτητης Αρχής Δημοσίων Εσόδων, με θέμα «Ορισμός μελών του Ανώτατου Χημικού Συμβουλίου (Α.Χ.Σ.)».</w:t>
      </w:r>
    </w:p>
    <w:p>
      <w:pPr>
        <w:pStyle w:val="PreambelText"/>
        <w:spacing w:before="240" w:after="240"/>
        <w:rPr>
          <w:lang w:val="el" w:eastAsia="el"/>
        </w:rPr>
      </w:pPr>
      <w:r>
        <w:rPr>
          <w:u w:val="single"/>
          <w:lang w:val="el" w:eastAsia="el"/>
        </w:rPr>
        <w:t xml:space="preserve">8. </w:t>
      </w:r>
      <w:r>
        <w:rPr>
          <w:b/>
          <w:bCs/>
          <w:u w:val="single"/>
          <w:lang w:val="el" w:eastAsia="el"/>
        </w:rPr>
        <w:t>Την Εκτελεστική Απόφαση (ΕΕ) 2022/197 της Επιτροπής της 17.1.2022 για τον καθορισμό κοινού δείκτη φορολογικής σήμανσης του πετρελαίου ντίζελ και του φωτιστικού πετρελαίου (L 31/52/14.2.2022).</w:t>
      </w:r>
    </w:p>
    <w:p>
      <w:pPr>
        <w:pStyle w:val="PreambelText"/>
        <w:spacing w:before="240" w:after="240"/>
        <w:rPr>
          <w:lang w:val="el" w:eastAsia="el"/>
        </w:rPr>
      </w:pPr>
      <w:r>
        <w:rPr>
          <w:u w:val="single"/>
          <w:lang w:val="el" w:eastAsia="el"/>
        </w:rPr>
        <w:t xml:space="preserve">9. </w:t>
      </w:r>
      <w:r>
        <w:rPr>
          <w:b/>
          <w:bCs/>
          <w:u w:val="single"/>
          <w:lang w:val="el" w:eastAsia="el"/>
        </w:rPr>
        <w:t>Την απόφαση υπ’ αριθμ. 155/2023 του Ανώτατου Χημικού Συμβουλίου με τίτλο “Ενσωμάτωση στο εθνικό δίκαιο της Εκτελεστικής Απόφασης (ΕΕ) 2022/197 της Επιτροπής της 17.1.2022 για τον καθορισμό του ACCUTRACE</w:t>
      </w:r>
      <w:r>
        <w:rPr>
          <w:b/>
          <w:bCs/>
          <w:sz w:val="30"/>
          <w:szCs w:val="30"/>
          <w:u w:val="single"/>
          <w:vertAlign w:val="superscript"/>
          <w:lang w:val="el" w:eastAsia="el"/>
        </w:rPr>
        <w:t>TM</w:t>
      </w:r>
      <w:r>
        <w:rPr>
          <w:b/>
          <w:bCs/>
          <w:u w:val="single"/>
          <w:lang w:val="el" w:eastAsia="el"/>
        </w:rPr>
        <w:t xml:space="preserve"> PLUS ως κοινού δείκτη φορολογικής σήμανσης του πετρελαίου θέρμανσης και των πετρελαίων εσωτερικής καύσης πλοίων και ντίζελ πλοίων, καθώς και του φωτιστικού πετρελαίου (κηροζίνη θέρμανσης), μέθοδοι δοκιμής για τον προσδιορισμό του και σχετικές τεχνικές απαιτήσεις”</w:t>
      </w:r>
    </w:p>
    <w:p>
      <w:pPr>
        <w:pStyle w:val="PreambelText"/>
        <w:spacing w:before="240" w:after="240"/>
        <w:rPr>
          <w:lang w:val="el" w:eastAsia="el"/>
        </w:rPr>
      </w:pPr>
      <w:r>
        <w:rPr>
          <w:u w:val="single"/>
          <w:lang w:val="el" w:eastAsia="el"/>
        </w:rPr>
        <w:t xml:space="preserve">10. </w:t>
      </w:r>
      <w:r>
        <w:rPr>
          <w:b/>
          <w:bCs/>
          <w:u w:val="single"/>
          <w:lang w:val="el" w:eastAsia="el"/>
        </w:rPr>
        <w:t>Την ανάγκη ενσωμάτωσης στο εθνικό δίκαιο της Εκτελεστικής Απόφασης (ΕΕ) 2022/197 της Επιτροπής της 17.1.2022 για τον καθορισμό του ACCUTRACE</w:t>
      </w:r>
      <w:r>
        <w:rPr>
          <w:b/>
          <w:bCs/>
          <w:sz w:val="30"/>
          <w:szCs w:val="30"/>
          <w:u w:val="single"/>
          <w:vertAlign w:val="superscript"/>
          <w:lang w:val="el" w:eastAsia="el"/>
        </w:rPr>
        <w:t>TM</w:t>
      </w:r>
      <w:r>
        <w:rPr>
          <w:b/>
          <w:bCs/>
          <w:u w:val="single"/>
          <w:lang w:val="el" w:eastAsia="el"/>
        </w:rPr>
        <w:t xml:space="preserve"> PLUS ως κοινού δείκτη φορολογικής σήμανσης του πετρελαίου θέρμανσης και των πετρελαίων εσωτερικής καύσης πλοίων και ντίζελ πλοίων, καθώς και του φωτιστικού πετρελαίου (κηροζίνη θέρμανσης).</w:t>
      </w:r>
    </w:p>
    <w:p>
      <w:pPr>
        <w:pStyle w:val="PreambelText"/>
        <w:spacing w:before="240" w:after="240"/>
        <w:rPr>
          <w:lang w:val="el" w:eastAsia="el"/>
        </w:rPr>
      </w:pPr>
      <w:r>
        <w:rPr>
          <w:u w:val="single"/>
          <w:lang w:val="el" w:eastAsia="el"/>
        </w:rPr>
        <w:t xml:space="preserve">11. </w:t>
      </w:r>
      <w:r>
        <w:rPr>
          <w:b/>
          <w:bCs/>
          <w:u w:val="single"/>
          <w:lang w:val="el" w:eastAsia="el"/>
        </w:rPr>
        <w:t>Το γεγονός ότι από τις διατάξεις της παρούσας δεν προκαλείται δαπάνη σε βάρος του κρατικού προϋπολογισμού.</w:t>
      </w:r>
    </w:p>
    <w:p>
      <w:pPr>
        <w:pStyle w:val="enacting"/>
        <w:spacing w:before="120" w:after="0"/>
        <w:rPr>
          <w:lang w:val="el" w:eastAsia="el"/>
        </w:rPr>
      </w:pPr>
      <w:r>
        <w:rPr>
          <w:b/>
          <w:bCs/>
          <w:u w:val="single"/>
          <w:lang w:val="el" w:eastAsia="el"/>
        </w:rPr>
        <w:t>ΑΠΟΦΑΣΙΖΟΥΜΕ</w:t>
      </w:r>
    </w:p>
    <w:p>
      <w:pPr>
        <w:pStyle w:val="Heading6"/>
        <w:spacing w:before="240" w:after="240"/>
        <w:rPr>
          <w:lang w:val="el" w:eastAsia="el"/>
        </w:rPr>
      </w:pPr>
      <w:r>
        <w:rPr>
          <w:b/>
          <w:bCs/>
          <w:u w:val="single"/>
          <w:lang w:val="el" w:eastAsia="el"/>
        </w:rPr>
        <w:t>Άρθρο 1</w:t>
      </w:r>
      <w:r>
        <w:rPr>
          <w:u w:val="single"/>
          <w:lang w:val="el" w:eastAsia="el"/>
        </w:rPr>
        <w:t xml:space="preserve"> </w:t>
      </w:r>
    </w:p>
    <w:p>
      <w:pPr>
        <w:pStyle w:val="Heading6"/>
        <w:spacing w:before="240" w:after="240"/>
        <w:rPr>
          <w:lang w:val="el" w:eastAsia="el"/>
        </w:rPr>
      </w:pPr>
      <w:r>
        <w:rPr>
          <w:b/>
          <w:bCs/>
          <w:u w:val="single"/>
          <w:lang w:val="el" w:eastAsia="el"/>
        </w:rPr>
        <w:t>Εγκρίνουμε την απόφαση υπ’ αριθ. 155/2023 του Ανώτατου Χημικού Συμβουλίου, η οποία ελήφθη κατά τη συνεδρίαση της 30ης Ιουνίου 2023 και έχει ως εξής:</w:t>
      </w:r>
    </w:p>
    <w:p>
      <w:pPr>
        <w:spacing w:before="240" w:after="240"/>
        <w:rPr>
          <w:lang w:val="el" w:eastAsia="el"/>
        </w:rPr>
      </w:pPr>
      <w:r>
        <w:rPr>
          <w:b/>
          <w:bCs/>
          <w:u w:val="single"/>
          <w:lang w:val="el" w:eastAsia="el"/>
        </w:rPr>
        <w:t>«ΑΝΕΞΑΡΤΗΤΗ ΑΡΧΗ ΔΗΜΟΣΙΩΝ ΕΣΟΔΩΝΑΝΩΤΑΤΟ ΧΗΜΙΚΟ ΣΥΜΒΟΥΛΙΟ</w:t>
      </w:r>
    </w:p>
    <w:p>
      <w:pPr>
        <w:spacing w:before="240" w:after="240"/>
        <w:rPr>
          <w:lang w:val="el" w:eastAsia="el"/>
        </w:rPr>
      </w:pPr>
      <w:r>
        <w:rPr>
          <w:b/>
          <w:bCs/>
          <w:u w:val="single"/>
          <w:lang w:val="el" w:eastAsia="el"/>
        </w:rPr>
        <w:t>“Ενσωμάτωση στο εθνικό δίκαιο της Εκτελεστικής Απόφασης (ΕΕ) 2022/197 της Επιτροπής της 17.1.2022 για τον καθορισμό του ACCUTRACE</w:t>
      </w:r>
      <w:r>
        <w:rPr>
          <w:b/>
          <w:bCs/>
          <w:sz w:val="30"/>
          <w:szCs w:val="30"/>
          <w:u w:val="single"/>
          <w:vertAlign w:val="superscript"/>
          <w:lang w:val="el" w:eastAsia="el"/>
        </w:rPr>
        <w:t>TM</w:t>
      </w:r>
      <w:r>
        <w:rPr>
          <w:b/>
          <w:bCs/>
          <w:u w:val="single"/>
          <w:lang w:val="el" w:eastAsia="el"/>
        </w:rPr>
        <w:t xml:space="preserve"> PLUS ως κοινού δείκτη φορολογικής σήμανσης του πετρελαίου θέρμανσης και των πετρελαίων εσωτερικής καύσης πλοίων και ντίζελ πλοίων, καθώς και του φωτιστικού πετρελαίου (κηροζίνη θέρμανσης), μέθοδοι δοκιμής για τον προσδιορισμό του και σχετικές τεχνικές απαιτήσεις”</w:t>
      </w:r>
    </w:p>
    <w:p>
      <w:pPr>
        <w:spacing w:before="240" w:after="240"/>
        <w:rPr>
          <w:lang w:val="el" w:eastAsia="el"/>
        </w:rPr>
      </w:pPr>
      <w:r>
        <w:rPr>
          <w:b/>
          <w:bCs/>
          <w:u w:val="single"/>
          <w:lang w:val="el" w:eastAsia="el"/>
        </w:rPr>
        <w:t xml:space="preserve">Άρθρο </w:t>
      </w:r>
    </w:p>
    <w:p>
      <w:pPr>
        <w:spacing w:before="240" w:after="240"/>
        <w:rPr>
          <w:lang w:val="el" w:eastAsia="el"/>
        </w:rPr>
      </w:pPr>
      <w:r>
        <w:rPr>
          <w:b/>
          <w:bCs/>
          <w:u w:val="single"/>
          <w:lang w:val="el" w:eastAsia="el"/>
        </w:rPr>
        <w:t>1Σκοπός και Πεδίο Εφαρμογής</w:t>
      </w:r>
    </w:p>
    <w:p>
      <w:pPr>
        <w:spacing w:before="240" w:after="240"/>
        <w:rPr>
          <w:lang w:val="el" w:eastAsia="el"/>
        </w:rPr>
      </w:pPr>
      <w:r>
        <w:rPr>
          <w:b/>
          <w:bCs/>
          <w:u w:val="single"/>
          <w:lang w:val="el" w:eastAsia="el"/>
        </w:rPr>
        <w:t>Σκοπός της παρούσας απόφασης είναι η καθιέρωση του κοινού ευρωπαϊκού φορολογικού δείκτη που προβλέπει η οδηγία 95/60/EΚ για τη σήμανση των πετρελαιοειδών.</w:t>
      </w:r>
    </w:p>
    <w:p>
      <w:pPr>
        <w:spacing w:before="240" w:after="240"/>
        <w:rPr>
          <w:lang w:val="el" w:eastAsia="el"/>
        </w:rPr>
      </w:pPr>
      <w:r>
        <w:rPr>
          <w:b/>
          <w:bCs/>
          <w:u w:val="single"/>
          <w:lang w:val="el" w:eastAsia="el"/>
        </w:rPr>
        <w:t>Με την παρούσα ρυθμίζονται τα ακόλουθα θέματα:</w:t>
      </w:r>
    </w:p>
    <w:p>
      <w:pPr>
        <w:spacing w:before="240" w:after="240"/>
        <w:rPr>
          <w:lang w:val="el" w:eastAsia="el"/>
        </w:rPr>
      </w:pPr>
      <w:r>
        <w:rPr>
          <w:u w:val="single"/>
          <w:lang w:val="el" w:eastAsia="el"/>
        </w:rPr>
        <w:t xml:space="preserve">1) </w:t>
      </w:r>
      <w:r>
        <w:rPr>
          <w:b/>
          <w:bCs/>
          <w:u w:val="single"/>
          <w:lang w:val="el" w:eastAsia="el"/>
        </w:rPr>
        <w:t>Η χημική ονομασία κατά IUPAC του μορίου του ιχνηθέτη.</w:t>
      </w:r>
    </w:p>
    <w:p>
      <w:pPr>
        <w:spacing w:before="240" w:after="240"/>
        <w:rPr>
          <w:lang w:val="el" w:eastAsia="el"/>
        </w:rPr>
      </w:pPr>
      <w:r>
        <w:rPr>
          <w:u w:val="single"/>
          <w:lang w:val="el" w:eastAsia="el"/>
        </w:rPr>
        <w:t xml:space="preserve">2) </w:t>
      </w:r>
      <w:r>
        <w:rPr>
          <w:b/>
          <w:bCs/>
          <w:u w:val="single"/>
          <w:lang w:val="el" w:eastAsia="el"/>
        </w:rPr>
        <w:t>Το ποσοστό που προστίθεται στα ενεργειακά προϊόντα.</w:t>
      </w:r>
    </w:p>
    <w:p>
      <w:pPr>
        <w:spacing w:before="240" w:after="240"/>
        <w:rPr>
          <w:lang w:val="el" w:eastAsia="el"/>
        </w:rPr>
      </w:pPr>
      <w:r>
        <w:rPr>
          <w:u w:val="single"/>
          <w:lang w:val="el" w:eastAsia="el"/>
        </w:rPr>
        <w:t xml:space="preserve">3) </w:t>
      </w:r>
      <w:r>
        <w:rPr>
          <w:b/>
          <w:bCs/>
          <w:u w:val="single"/>
          <w:lang w:val="el" w:eastAsia="el"/>
        </w:rPr>
        <w:t>Η επικυρωμένη εργαστηριακή μέθοδος και ο εξοπλισμός για τον ποσοτικό προσδιορισμό του ιχνηθέτη στα ενεργειακά προϊόντα.</w:t>
      </w:r>
    </w:p>
    <w:p>
      <w:pPr>
        <w:spacing w:before="240" w:after="240"/>
        <w:rPr>
          <w:lang w:val="el" w:eastAsia="el"/>
        </w:rPr>
      </w:pPr>
      <w:r>
        <w:rPr>
          <w:u w:val="single"/>
          <w:lang w:val="el" w:eastAsia="el"/>
        </w:rPr>
        <w:t xml:space="preserve">4) </w:t>
      </w:r>
      <w:r>
        <w:rPr>
          <w:b/>
          <w:bCs/>
          <w:u w:val="single"/>
          <w:lang w:val="el" w:eastAsia="el"/>
        </w:rPr>
        <w:t>Τα χαρακτηριστικά ποιότητας της μεθόδου αυτής.</w:t>
      </w:r>
    </w:p>
    <w:p>
      <w:pPr>
        <w:spacing w:before="240" w:after="240"/>
        <w:rPr>
          <w:lang w:val="el" w:eastAsia="el"/>
        </w:rPr>
      </w:pPr>
      <w:r>
        <w:rPr>
          <w:u w:val="single"/>
          <w:lang w:val="el" w:eastAsia="el"/>
        </w:rPr>
        <w:t xml:space="preserve">5) </w:t>
      </w:r>
      <w:r>
        <w:rPr>
          <w:b/>
          <w:bCs/>
          <w:u w:val="single"/>
          <w:lang w:val="el" w:eastAsia="el"/>
        </w:rPr>
        <w:t>Η μέθοδος και ο εξοπλισμός που χρησιμοποιείται στους επιτόπιους ελέγχους επί του πεδίου για τον προσδιορισμό του ιχνηθέτη.</w:t>
      </w:r>
    </w:p>
    <w:p>
      <w:pPr>
        <w:spacing w:before="240" w:after="240"/>
        <w:rPr>
          <w:lang w:val="el" w:eastAsia="el"/>
        </w:rPr>
      </w:pPr>
      <w:r>
        <w:rPr>
          <w:b/>
          <w:bCs/>
          <w:u w:val="single"/>
          <w:lang w:val="el" w:eastAsia="el"/>
        </w:rPr>
        <w:t>Άρθρο 2</w:t>
      </w:r>
    </w:p>
    <w:p>
      <w:pPr>
        <w:spacing w:before="240" w:after="240"/>
        <w:rPr>
          <w:lang w:val="el" w:eastAsia="el"/>
        </w:rPr>
      </w:pPr>
      <w:r>
        <w:rPr>
          <w:b/>
          <w:bCs/>
          <w:u w:val="single"/>
          <w:lang w:val="el" w:eastAsia="el"/>
        </w:rPr>
        <w:t>Καθορισμός ιχνηθέτη</w:t>
      </w:r>
    </w:p>
    <w:p>
      <w:pPr>
        <w:spacing w:before="240" w:after="240"/>
        <w:rPr>
          <w:lang w:val="el" w:eastAsia="el"/>
        </w:rPr>
      </w:pPr>
      <w:r>
        <w:rPr>
          <w:b/>
          <w:bCs/>
          <w:u w:val="single"/>
          <w:lang w:val="el" w:eastAsia="el"/>
        </w:rPr>
        <w:t>Στο πετρέλαιο θέρμανσης και τα πετρέλαια εσωτερικής καύσης πλοίων και ντίζελ πλοίων, καθώς και στο φωτιστικό πετρέλαιο (κηροζίνη) θέρμανσης προστίθεται η ουσία ACCUTRACE</w:t>
      </w:r>
      <w:r>
        <w:rPr>
          <w:b/>
          <w:bCs/>
          <w:sz w:val="30"/>
          <w:szCs w:val="30"/>
          <w:u w:val="single"/>
          <w:vertAlign w:val="superscript"/>
          <w:lang w:val="el" w:eastAsia="el"/>
        </w:rPr>
        <w:t>TM</w:t>
      </w:r>
      <w:r>
        <w:rPr>
          <w:b/>
          <w:bCs/>
          <w:u w:val="single"/>
          <w:lang w:val="el" w:eastAsia="el"/>
        </w:rPr>
        <w:t xml:space="preserve"> PLUS με ενεργό συστατικό το βουτοξυβενζόλιο, (αριθμός μητρώου CAS 1126-79-0), ως κοινός φορολογικός δείκτης που προβλέπει η οδηγία 95/60/EΚ για τη σήμανση όλων των πετρελαιοειδών που εμπίπτουν στους κωδικούς ΣΟ 2710 19 43, 2710 19 46, 2710 19 47, 2710 19 48, 2710 20 11, 2710 20 16 και 2710 20 19, καθώς και του φωτιστικού πετρελαίου (κηροζίνη θέρμανσης) που εμπίπτει στον κωδικό ΣΟ 2710 19 25.</w:t>
      </w:r>
    </w:p>
    <w:p>
      <w:pPr>
        <w:spacing w:before="240" w:after="240"/>
        <w:rPr>
          <w:lang w:val="el" w:eastAsia="el"/>
        </w:rPr>
      </w:pPr>
      <w:r>
        <w:rPr>
          <w:b/>
          <w:bCs/>
          <w:u w:val="single"/>
          <w:lang w:val="el" w:eastAsia="el"/>
        </w:rPr>
        <w:t>Ορίζεται ως επίπεδο σήμανσης με ACCUTRACE</w:t>
      </w:r>
      <w:r>
        <w:rPr>
          <w:b/>
          <w:bCs/>
          <w:sz w:val="30"/>
          <w:szCs w:val="30"/>
          <w:u w:val="single"/>
          <w:vertAlign w:val="superscript"/>
          <w:lang w:val="el" w:eastAsia="el"/>
        </w:rPr>
        <w:t>TM</w:t>
      </w:r>
      <w:r>
        <w:rPr>
          <w:b/>
          <w:bCs/>
          <w:u w:val="single"/>
          <w:lang w:val="el" w:eastAsia="el"/>
        </w:rPr>
        <w:t xml:space="preserve"> PLUS τα 12,5 χιλιοστόγραμμα ανά λίτρο ενεργειακού προϊόντος. Τούτο αντιστοιχεί σε επίπεδο σήμανσης τουλάχιστον 9,5 χιλιοστόγραμμων βουτοξυβενζολίου ανά λίτρο ενεργειακού προϊόντος.</w:t>
      </w:r>
    </w:p>
    <w:p>
      <w:pPr>
        <w:spacing w:before="240" w:after="240"/>
        <w:rPr>
          <w:lang w:val="el" w:eastAsia="el"/>
        </w:rPr>
      </w:pPr>
      <w:r>
        <w:rPr>
          <w:b/>
          <w:bCs/>
          <w:u w:val="single"/>
          <w:lang w:val="el" w:eastAsia="el"/>
        </w:rPr>
        <w:t>Άρθρο 3</w:t>
      </w:r>
    </w:p>
    <w:p>
      <w:pPr>
        <w:spacing w:before="240" w:after="240"/>
        <w:rPr>
          <w:lang w:val="el" w:eastAsia="el"/>
        </w:rPr>
      </w:pPr>
      <w:r>
        <w:rPr>
          <w:b/>
          <w:bCs/>
          <w:u w:val="single"/>
          <w:lang w:val="el" w:eastAsia="el"/>
        </w:rPr>
        <w:t>Εργαστηριακή μέθοδος Δοκιμών</w:t>
      </w:r>
    </w:p>
    <w:p>
      <w:pPr>
        <w:spacing w:before="240" w:after="240"/>
        <w:rPr>
          <w:lang w:val="el" w:eastAsia="el"/>
        </w:rPr>
      </w:pPr>
      <w:r>
        <w:rPr>
          <w:b/>
          <w:bCs/>
          <w:u w:val="single"/>
          <w:lang w:val="el" w:eastAsia="el"/>
        </w:rPr>
        <w:t>Για τον προσδιορισμό του βουτοξυβενζολίου, ενεργού συστατικού του ACCUTRACE</w:t>
      </w:r>
      <w:r>
        <w:rPr>
          <w:b/>
          <w:bCs/>
          <w:sz w:val="30"/>
          <w:szCs w:val="30"/>
          <w:u w:val="single"/>
          <w:vertAlign w:val="superscript"/>
          <w:lang w:val="el" w:eastAsia="el"/>
        </w:rPr>
        <w:t>TM</w:t>
      </w:r>
      <w:r>
        <w:rPr>
          <w:b/>
          <w:bCs/>
          <w:u w:val="single"/>
          <w:lang w:val="el" w:eastAsia="el"/>
        </w:rPr>
        <w:t xml:space="preserve"> PLUS, στο πετρέλαιο θέρμανσης, και τα πετρέλαια εσωτερικής καύσης πλοίων και ντίζελ πλοίων, καθώς και στο φωτιστικό πετρέλαιο (κηροζίνη) θέρμανσης σε συγκέντρωση 9,5 χιλιοστόγραμμων βουτοξυβενζολίου ανά λίτρο ενεργειακού προϊόντος, χρησιμοποιείται δισδιάστατος αέριος χρωματογράφος με ανιχνευτή φασματομετρίας μαζών (GC – MS). Η μέθοδος στηρίζεται στην έκθεση έρευνας της Dow με τίτλο, «Επικύρωση δισδιάστατης μεθόδου αέριας χρωματογραφίας για ποσοτικό προσδιορισμό του ιχνηθέτη βουτυλοφαινυλαιθέρας (BPE) σε καύσιμο ντίζελ” [“Validation of a Two-Dimensional Gas Chromatography Method for Quantification of Fuel Marker Butyl Phenyl Ether (BPE) in Diesel Fuel”], την οποία κοινοποίησε η Ε. Επιτροπή στα κράτη μέλη. Σημειώνεται ότι η ένωση βουτυλοφαινυλαιθέρας ταυτίζεται με την ένωση με χημική ονομασία κατά IUPAC βουτοξυβενζόλιο.</w:t>
      </w:r>
    </w:p>
    <w:p>
      <w:pPr>
        <w:spacing w:before="240" w:after="240"/>
        <w:rPr>
          <w:lang w:val="el" w:eastAsia="el"/>
        </w:rPr>
      </w:pPr>
      <w:r>
        <w:rPr>
          <w:b/>
          <w:bCs/>
          <w:u w:val="single"/>
          <w:lang w:val="el" w:eastAsia="el"/>
        </w:rPr>
        <w:t>Αρχή</w:t>
      </w:r>
    </w:p>
    <w:p>
      <w:pPr>
        <w:spacing w:before="240" w:after="240"/>
        <w:rPr>
          <w:lang w:val="el" w:eastAsia="el"/>
        </w:rPr>
      </w:pPr>
      <w:r>
        <w:rPr>
          <w:b/>
          <w:bCs/>
          <w:u w:val="single"/>
          <w:lang w:val="el" w:eastAsia="el"/>
        </w:rPr>
        <w:t>Το δείγμα ενεργειακού προϊόντος αναλύεται με τη μέθοδο αέριας χρωματογραφίας δύο διαστάσεων (2D chromatography), με τριχοειδείς στήλες και κατάλληλο θερμοκρασιακό πρόγραμμα, χρησιμοποιώντας ανιχνευτές ιονισμού φλόγας (FID) και μάζας (MS). Χρησιμοποιείται διάταξη Dean’s switch και 3 στήλες διαφορετικής πολικότητας.</w:t>
      </w:r>
    </w:p>
    <w:p>
      <w:pPr>
        <w:spacing w:before="240" w:after="240"/>
        <w:rPr>
          <w:lang w:val="el" w:eastAsia="el"/>
        </w:rPr>
      </w:pPr>
      <w:r>
        <w:rPr>
          <w:b/>
          <w:bCs/>
          <w:u w:val="single"/>
          <w:lang w:val="el" w:eastAsia="el"/>
        </w:rPr>
        <w:t>Ο ποσοτικός προσδιορισμός του βουτοξυβενζολίου πραγματοποιείται με τη χρήση ανιχνευτή φασματομετρίας μαζών, χρησιμοποιώντας τεχνική ηλεκτρονικού ιονισμού (Electron Impact Ionization) και παρακολούθησης συγκεκριμένου ιόντος (Selected Ion Monitoring- SIM), συγκεκριμένα του ιόντος με m/z 94 (ιόν ποσοτικοποίησης) και του ιόντος με m/z 150 (ιόν επιβεβαίωσης).</w:t>
      </w:r>
    </w:p>
    <w:p>
      <w:pPr>
        <w:spacing w:before="240" w:after="240"/>
        <w:rPr>
          <w:lang w:val="el" w:eastAsia="el"/>
        </w:rPr>
      </w:pPr>
      <w:r>
        <w:rPr>
          <w:b/>
          <w:bCs/>
          <w:u w:val="single"/>
          <w:lang w:val="el" w:eastAsia="el"/>
        </w:rPr>
        <w:t>Η λειτουργία του χρωματογράφου και ο υπολογισμός των αποτελεσμάτων ρυθμίζονται από κατάλληλο λογισμικό.</w:t>
      </w:r>
    </w:p>
    <w:p>
      <w:pPr>
        <w:spacing w:before="240" w:after="240"/>
        <w:rPr>
          <w:lang w:val="el" w:eastAsia="el"/>
        </w:rPr>
      </w:pPr>
      <w:r>
        <w:rPr>
          <w:b/>
          <w:bCs/>
          <w:u w:val="single"/>
          <w:lang w:val="el" w:eastAsia="el"/>
        </w:rPr>
        <w:t>Αντιδραστήρια και άλλα υλικά</w:t>
      </w:r>
    </w:p>
    <w:p>
      <w:pPr>
        <w:spacing w:before="240" w:after="240"/>
        <w:rPr>
          <w:lang w:val="el" w:eastAsia="el"/>
        </w:rPr>
      </w:pPr>
      <w:r>
        <w:rPr>
          <w:u w:val="single"/>
          <w:lang w:val="el" w:eastAsia="el"/>
        </w:rPr>
        <w:t xml:space="preserve">1. </w:t>
      </w:r>
      <w:r>
        <w:rPr>
          <w:b/>
          <w:bCs/>
          <w:u w:val="single"/>
          <w:lang w:val="el" w:eastAsia="el"/>
        </w:rPr>
        <w:t>Γενικά</w:t>
      </w:r>
    </w:p>
    <w:p>
      <w:pPr>
        <w:spacing w:before="240" w:after="240"/>
        <w:rPr>
          <w:lang w:val="el" w:eastAsia="el"/>
        </w:rPr>
      </w:pPr>
      <w:r>
        <w:rPr>
          <w:u w:val="single"/>
          <w:lang w:val="el" w:eastAsia="el"/>
        </w:rPr>
        <w:t xml:space="preserve">- </w:t>
      </w:r>
      <w:r>
        <w:rPr>
          <w:b/>
          <w:bCs/>
          <w:u w:val="single"/>
          <w:lang w:val="el" w:eastAsia="el"/>
        </w:rPr>
        <w:t>Αδρανές αέριο ήλιο χρωματογραφικής καθαρότητας</w:t>
      </w:r>
    </w:p>
    <w:p>
      <w:pPr>
        <w:spacing w:before="240" w:after="240"/>
        <w:rPr>
          <w:lang w:val="el" w:eastAsia="el"/>
        </w:rPr>
      </w:pPr>
      <w:r>
        <w:rPr>
          <w:u w:val="single"/>
          <w:lang w:val="el" w:eastAsia="el"/>
        </w:rPr>
        <w:t xml:space="preserve">- </w:t>
      </w:r>
      <w:r>
        <w:rPr>
          <w:b/>
          <w:bCs/>
          <w:u w:val="single"/>
          <w:lang w:val="el" w:eastAsia="el"/>
        </w:rPr>
        <w:t>Μη ιχνηθετημένο πετρέλαιο θέρμανσης και πετρέλαια εσωτερικής καύσης πλοίων και ντίζελ πλοίων, καθώς και φωτιστικό πετρέλαιο (κηροζίνη) θέρμανσης, για την παρασκευή προτύπων βαθμονόμησης.</w:t>
      </w:r>
    </w:p>
    <w:p>
      <w:pPr>
        <w:spacing w:before="240" w:after="240"/>
        <w:rPr>
          <w:lang w:val="el" w:eastAsia="el"/>
        </w:rPr>
      </w:pPr>
      <w:r>
        <w:rPr>
          <w:u w:val="single"/>
          <w:lang w:val="el" w:eastAsia="el"/>
        </w:rPr>
        <w:t xml:space="preserve">- </w:t>
      </w:r>
      <w:r>
        <w:rPr>
          <w:b/>
          <w:bCs/>
          <w:u w:val="single"/>
          <w:lang w:val="el" w:eastAsia="el"/>
        </w:rPr>
        <w:t>Κατάλληλους διαλύτες για καθαρισμό αυτόματου δειγματολήπτη.</w:t>
      </w:r>
    </w:p>
    <w:p>
      <w:pPr>
        <w:spacing w:before="240" w:after="240"/>
        <w:rPr>
          <w:lang w:val="el" w:eastAsia="el"/>
        </w:rPr>
      </w:pPr>
      <w:r>
        <w:rPr>
          <w:u w:val="single"/>
          <w:lang w:val="el" w:eastAsia="el"/>
        </w:rPr>
        <w:t xml:space="preserve">2. </w:t>
      </w:r>
      <w:r>
        <w:rPr>
          <w:b/>
          <w:bCs/>
          <w:u w:val="single"/>
          <w:lang w:val="el" w:eastAsia="el"/>
        </w:rPr>
        <w:t>Πρότυπα βαθμονόμησης</w:t>
      </w:r>
    </w:p>
    <w:p>
      <w:pPr>
        <w:spacing w:before="240" w:after="240"/>
        <w:rPr>
          <w:lang w:val="el" w:eastAsia="el"/>
        </w:rPr>
      </w:pPr>
      <w:r>
        <w:rPr>
          <w:b/>
          <w:bCs/>
          <w:u w:val="single"/>
          <w:lang w:val="el" w:eastAsia="el"/>
        </w:rPr>
        <w:t>Παρασκευάζονται πρότυπα διαλύματα βουτοξυβενζόλιου από πιστοποιημένο υλικό αναφοράς, (CRM), ή από πυκνό αρχικό διάλυμα γνωστής συγκέντρωσης, (stock solution).</w:t>
      </w:r>
    </w:p>
    <w:p>
      <w:pPr>
        <w:spacing w:before="240" w:after="240"/>
        <w:rPr>
          <w:lang w:val="el" w:eastAsia="el"/>
        </w:rPr>
      </w:pPr>
      <w:r>
        <w:rPr>
          <w:b/>
          <w:bCs/>
          <w:u w:val="single"/>
          <w:lang w:val="el" w:eastAsia="el"/>
        </w:rPr>
        <w:t>Για την κατασκευή της καμπύλης βαθμονόμησης χρησιμοποιείται μη ιχνηθετημένο πετρέλαιο θέρμανσης και πετρέλαιο εσωτερικής καύσης πλοίων και ντίζελ πλοίων, καθώς και φωτιστικό πετρέλαιο (κηροζίνη θέρμανσης) και παρασκευάζονται 7 πρότυπα διαλύματα βουτοξυβενζολίου στην περιοχή συγκεντρώσεων από 0,095 - 11,875 mg.L</w:t>
      </w:r>
      <w:r>
        <w:rPr>
          <w:b/>
          <w:bCs/>
          <w:sz w:val="30"/>
          <w:szCs w:val="30"/>
          <w:u w:val="single"/>
          <w:vertAlign w:val="superscript"/>
          <w:lang w:val="el" w:eastAsia="el"/>
        </w:rPr>
        <w:t>-1</w:t>
      </w:r>
      <w:r>
        <w:rPr>
          <w:b/>
          <w:bCs/>
          <w:u w:val="single"/>
          <w:lang w:val="el" w:eastAsia="el"/>
        </w:rPr>
        <w:t xml:space="preserve"> βουτοξυβενζολίου στο ενεργειακό προϊόν.</w:t>
      </w:r>
    </w:p>
    <w:p>
      <w:pPr>
        <w:spacing w:before="240" w:after="240"/>
        <w:rPr>
          <w:lang w:val="el" w:eastAsia="el"/>
        </w:rPr>
      </w:pPr>
      <w:r>
        <w:rPr>
          <w:b/>
          <w:bCs/>
          <w:u w:val="single"/>
          <w:lang w:val="el" w:eastAsia="el"/>
        </w:rPr>
        <w:t>Εξοπλισμός</w:t>
      </w:r>
    </w:p>
    <w:p>
      <w:pPr>
        <w:spacing w:before="240" w:after="240"/>
        <w:rPr>
          <w:lang w:val="el" w:eastAsia="el"/>
        </w:rPr>
      </w:pPr>
      <w:r>
        <w:rPr>
          <w:u w:val="single"/>
          <w:lang w:val="el" w:eastAsia="el"/>
        </w:rPr>
        <w:t xml:space="preserve">1. </w:t>
      </w:r>
      <w:r>
        <w:rPr>
          <w:b/>
          <w:bCs/>
          <w:u w:val="single"/>
          <w:lang w:val="el" w:eastAsia="el"/>
        </w:rPr>
        <w:t>Αέριος χρωματογράφος εξοπλισμένος με σύστημα ηλεκτρονικού ελέγχου πίεσης, και εισαγωγέα διαμοιρασμού δείγματος (split/splitless).</w:t>
      </w:r>
    </w:p>
    <w:p>
      <w:pPr>
        <w:spacing w:before="240" w:after="240"/>
        <w:rPr>
          <w:lang w:val="el" w:eastAsia="el"/>
        </w:rPr>
      </w:pPr>
      <w:r>
        <w:rPr>
          <w:u w:val="single"/>
          <w:lang w:val="el" w:eastAsia="el"/>
        </w:rPr>
        <w:t xml:space="preserve">2. </w:t>
      </w:r>
      <w:r>
        <w:rPr>
          <w:b/>
          <w:bCs/>
          <w:u w:val="single"/>
          <w:lang w:val="el" w:eastAsia="el"/>
        </w:rPr>
        <w:t>Ανιχνευτής ιονισμού φλόγας (FID).</w:t>
      </w:r>
    </w:p>
    <w:p>
      <w:pPr>
        <w:spacing w:before="240" w:after="240"/>
        <w:rPr>
          <w:lang w:val="el" w:eastAsia="el"/>
        </w:rPr>
      </w:pPr>
      <w:r>
        <w:rPr>
          <w:u w:val="single"/>
          <w:lang w:val="el" w:eastAsia="el"/>
        </w:rPr>
        <w:t xml:space="preserve">3. </w:t>
      </w:r>
      <w:r>
        <w:rPr>
          <w:b/>
          <w:bCs/>
          <w:u w:val="single"/>
          <w:lang w:val="el" w:eastAsia="el"/>
        </w:rPr>
        <w:t>Ανιχνευτής φασματομετρίας μαζών με τεχνική ιονισμού με δέσμη ηλεκτρονίων, ο οποίος συνδέεται με το χρωματογράφο με θερμοστατούμενη γραμμή μεταφοράς (transfer line).</w:t>
      </w:r>
    </w:p>
    <w:p>
      <w:pPr>
        <w:spacing w:before="240" w:after="240"/>
        <w:rPr>
          <w:lang w:val="el" w:eastAsia="el"/>
        </w:rPr>
      </w:pPr>
      <w:r>
        <w:rPr>
          <w:u w:val="single"/>
          <w:lang w:val="el" w:eastAsia="el"/>
        </w:rPr>
        <w:t xml:space="preserve">4. </w:t>
      </w:r>
      <w:r>
        <w:rPr>
          <w:b/>
          <w:bCs/>
          <w:u w:val="single"/>
          <w:lang w:val="el" w:eastAsia="el"/>
        </w:rPr>
        <w:t>Τρεις (3) τριχοειδείς στήλες διαφορετικής πολικότητας, εκ των οποίων η πρώτη, τύπου φαινυλίου 50%, (15x0.25x0.15), συνδέει τον εισαγωγέα με το Dean’s switch, η δεύτερη, τύπου Wax, (30x0.25x1.00), συνδέει το Dean΄s switch με τον MSD και η τρίτη είναι στήλη fused silica, (0.64x0.1) και συνδέει το Dean’s switch με τον FID.</w:t>
      </w:r>
    </w:p>
    <w:p>
      <w:pPr>
        <w:spacing w:before="240" w:after="240"/>
        <w:rPr>
          <w:lang w:val="el" w:eastAsia="el"/>
        </w:rPr>
      </w:pPr>
      <w:r>
        <w:rPr>
          <w:u w:val="single"/>
          <w:lang w:val="el" w:eastAsia="el"/>
        </w:rPr>
        <w:t xml:space="preserve">5. </w:t>
      </w:r>
      <w:r>
        <w:rPr>
          <w:b/>
          <w:bCs/>
          <w:u w:val="single"/>
          <w:lang w:val="el" w:eastAsia="el"/>
        </w:rPr>
        <w:t>Αυτόματος δειγματολήπτης με σύριγγα ικανή να παρέχει με ακρίβεια όγκο 5μl.</w:t>
      </w:r>
    </w:p>
    <w:p>
      <w:pPr>
        <w:spacing w:before="240" w:after="240"/>
        <w:rPr>
          <w:lang w:val="el" w:eastAsia="el"/>
        </w:rPr>
      </w:pPr>
      <w:r>
        <w:rPr>
          <w:u w:val="single"/>
          <w:lang w:val="el" w:eastAsia="el"/>
        </w:rPr>
        <w:t xml:space="preserve">6. </w:t>
      </w:r>
      <w:r>
        <w:rPr>
          <w:b/>
          <w:bCs/>
          <w:u w:val="single"/>
          <w:lang w:val="el" w:eastAsia="el"/>
        </w:rPr>
        <w:t>Υπολογιστής με κατάλληλο λογισμικό που παρέχει λήψη και επεξεργασία δεδομένων.</w:t>
      </w:r>
    </w:p>
    <w:p>
      <w:pPr>
        <w:spacing w:before="240" w:after="240"/>
        <w:rPr>
          <w:lang w:val="el" w:eastAsia="el"/>
        </w:rPr>
      </w:pPr>
      <w:r>
        <w:rPr>
          <w:b/>
          <w:bCs/>
          <w:u w:val="single"/>
          <w:lang w:val="el" w:eastAsia="el"/>
        </w:rPr>
        <w:t>Διαδικασία</w:t>
      </w:r>
    </w:p>
    <w:p>
      <w:pPr>
        <w:spacing w:before="240" w:after="240"/>
        <w:rPr>
          <w:lang w:val="el" w:eastAsia="el"/>
        </w:rPr>
      </w:pPr>
      <w:r>
        <w:rPr>
          <w:b/>
          <w:bCs/>
          <w:u w:val="single"/>
          <w:lang w:val="el" w:eastAsia="el"/>
        </w:rPr>
        <w:t>Αρχικά κατασκευάζεται καμπύλη βαθμονόμησης με τα ανωτέρω αναφερόμενα πρότυπα βαθμονόμησης.</w:t>
      </w:r>
    </w:p>
    <w:p>
      <w:pPr>
        <w:spacing w:before="240" w:after="240"/>
        <w:rPr>
          <w:lang w:val="el" w:eastAsia="el"/>
        </w:rPr>
      </w:pPr>
      <w:r>
        <w:rPr>
          <w:b/>
          <w:bCs/>
          <w:u w:val="single"/>
          <w:lang w:val="el" w:eastAsia="el"/>
        </w:rPr>
        <w:t>Για την ανίχνευση του ιχνηθέτη, χρησιμοποιείται η τεχνική ιονισμού με δέσμη ηλεκτρονίων</w:t>
      </w:r>
    </w:p>
    <w:p>
      <w:pPr>
        <w:spacing w:before="240" w:after="240"/>
        <w:rPr>
          <w:lang w:val="el" w:eastAsia="el"/>
        </w:rPr>
      </w:pPr>
      <w:r>
        <w:rPr>
          <w:b/>
          <w:bCs/>
          <w:u w:val="single"/>
          <w:lang w:val="el" w:eastAsia="el"/>
        </w:rPr>
        <w:t>(Electron Ionization) παρακολούθησης των ιόντων (SIM technique): με m/z 94 (ιόν ποσοτικοποίησης) και του ιόντος με m/z 150 (ιόν επιβεβαίωσης).</w:t>
      </w:r>
    </w:p>
    <w:p>
      <w:pPr>
        <w:spacing w:before="240" w:after="240"/>
        <w:rPr>
          <w:lang w:val="el" w:eastAsia="el"/>
        </w:rPr>
      </w:pPr>
      <w:r>
        <w:rPr>
          <w:b/>
          <w:bCs/>
          <w:u w:val="single"/>
          <w:lang w:val="el" w:eastAsia="el"/>
        </w:rPr>
        <w:t>Ως βέλτιστες παράμετροι λειτουργίας του GC – MS συνιστώνται οι παρακάτω:</w:t>
      </w:r>
    </w:p>
    <w:p>
      <w:pPr>
        <w:spacing w:before="240" w:after="240"/>
        <w:rPr>
          <w:lang w:val="el" w:eastAsia="el"/>
        </w:rPr>
      </w:pPr>
      <w:r>
        <w:rPr>
          <w:u w:val="single"/>
          <w:lang w:val="el" w:eastAsia="el"/>
        </w:rPr>
        <w:t xml:space="preserve">- </w:t>
      </w:r>
      <w:r>
        <w:rPr>
          <w:b/>
          <w:bCs/>
          <w:u w:val="single"/>
          <w:lang w:val="el" w:eastAsia="el"/>
        </w:rPr>
        <w:t>Θερμοκρασία στήλης (φούρνου)</w:t>
      </w:r>
    </w:p>
    <w:p>
      <w:pPr>
        <w:spacing w:before="240" w:after="240"/>
        <w:rPr>
          <w:lang w:val="el" w:eastAsia="el"/>
        </w:rPr>
      </w:pPr>
      <w:r>
        <w:rPr>
          <w:b/>
          <w:bCs/>
          <w:u w:val="single"/>
          <w:lang w:val="el" w:eastAsia="el"/>
        </w:rPr>
        <w:t>Σύμφωνα με το θερμοκρασιακό πρόγραμμα του φούρνου η αρχική θερμοκρασία των 100ºC διατηρείται 0,5 min και αυξάνεται με ρυθμό 10ºC.min</w:t>
      </w:r>
      <w:r>
        <w:rPr>
          <w:b/>
          <w:bCs/>
          <w:sz w:val="30"/>
          <w:szCs w:val="30"/>
          <w:u w:val="single"/>
          <w:vertAlign w:val="superscript"/>
          <w:lang w:val="el" w:eastAsia="el"/>
        </w:rPr>
        <w:t>-1</w:t>
      </w:r>
      <w:r>
        <w:rPr>
          <w:b/>
          <w:bCs/>
          <w:u w:val="single"/>
          <w:lang w:val="el" w:eastAsia="el"/>
        </w:rPr>
        <w:t xml:space="preserve"> έως τους 180ºC, όπου διατηρείται σταθερή για 0,0 min, στη συνέχεια αυξάνεται με ρυθμό 30ºC.min</w:t>
      </w:r>
      <w:r>
        <w:rPr>
          <w:b/>
          <w:bCs/>
          <w:sz w:val="30"/>
          <w:szCs w:val="30"/>
          <w:u w:val="single"/>
          <w:vertAlign w:val="superscript"/>
          <w:lang w:val="el" w:eastAsia="el"/>
        </w:rPr>
        <w:t>-1</w:t>
      </w:r>
      <w:r>
        <w:rPr>
          <w:b/>
          <w:bCs/>
          <w:u w:val="single"/>
          <w:lang w:val="el" w:eastAsia="el"/>
        </w:rPr>
        <w:t xml:space="preserve"> έως τους 260ºC, όπου διατηρείται σταθερή για 4,0 min.</w:t>
      </w:r>
    </w:p>
    <w:p>
      <w:pPr>
        <w:spacing w:before="240" w:after="240"/>
        <w:rPr>
          <w:lang w:val="el" w:eastAsia="el"/>
        </w:rPr>
      </w:pPr>
      <w:r>
        <w:rPr>
          <w:u w:val="single"/>
          <w:lang w:val="el" w:eastAsia="el"/>
        </w:rPr>
        <w:t xml:space="preserve">- </w:t>
      </w:r>
      <w:r>
        <w:rPr>
          <w:b/>
          <w:bCs/>
          <w:u w:val="single"/>
          <w:lang w:val="el" w:eastAsia="el"/>
        </w:rPr>
        <w:t>Εισαγωγέας (split/splitless)</w:t>
      </w:r>
    </w:p>
    <w:p>
      <w:pPr>
        <w:spacing w:before="240" w:after="240"/>
        <w:rPr>
          <w:lang w:val="el" w:eastAsia="el"/>
        </w:rPr>
      </w:pPr>
      <w:r>
        <w:rPr>
          <w:b/>
          <w:bCs/>
          <w:u w:val="single"/>
          <w:lang w:val="el" w:eastAsia="el"/>
        </w:rPr>
        <w:t>Η θερμοκρασία του εισαγωγέα split/splitless, με αναλογία split 100:1, είναι 250ºC και ο όγκος του ενέσιμου δείγματος 1μL. Η ροή του φέροντος αερίου (ήλιο) στις στήλες είναι: Για πρώτη στήλη: 1,0 mL.min</w:t>
      </w:r>
      <w:r>
        <w:rPr>
          <w:b/>
          <w:bCs/>
          <w:sz w:val="30"/>
          <w:szCs w:val="30"/>
          <w:u w:val="single"/>
          <w:vertAlign w:val="superscript"/>
          <w:lang w:val="el" w:eastAsia="el"/>
        </w:rPr>
        <w:t>-1</w:t>
      </w:r>
      <w:r>
        <w:rPr>
          <w:b/>
          <w:bCs/>
          <w:u w:val="single"/>
          <w:lang w:val="el" w:eastAsia="el"/>
        </w:rPr>
        <w:t xml:space="preserve"> για 5,0 min, αλλαγή στα 99 mL.min</w:t>
      </w:r>
      <w:r>
        <w:rPr>
          <w:b/>
          <w:bCs/>
          <w:sz w:val="30"/>
          <w:szCs w:val="30"/>
          <w:u w:val="single"/>
          <w:vertAlign w:val="superscript"/>
          <w:lang w:val="el" w:eastAsia="el"/>
        </w:rPr>
        <w:t>-1</w:t>
      </w:r>
      <w:r>
        <w:rPr>
          <w:b/>
          <w:bCs/>
          <w:u w:val="single"/>
          <w:lang w:val="el" w:eastAsia="el"/>
        </w:rPr>
        <w:t>, κράτημα για 10,1 min (βήμα έκπλυσης). Για τη δεύτερη στήλη: 2,5 mL.min</w:t>
      </w:r>
      <w:r>
        <w:rPr>
          <w:b/>
          <w:bCs/>
          <w:sz w:val="30"/>
          <w:szCs w:val="30"/>
          <w:u w:val="single"/>
          <w:vertAlign w:val="superscript"/>
          <w:lang w:val="el" w:eastAsia="el"/>
        </w:rPr>
        <w:t>-1</w:t>
      </w:r>
      <w:r>
        <w:rPr>
          <w:b/>
          <w:bCs/>
          <w:u w:val="single"/>
          <w:lang w:val="el" w:eastAsia="el"/>
        </w:rPr>
        <w:t xml:space="preserve"> σταθερή ροή.</w:t>
      </w:r>
    </w:p>
    <w:p>
      <w:pPr>
        <w:spacing w:before="240" w:after="240"/>
        <w:rPr>
          <w:lang w:val="el" w:eastAsia="el"/>
        </w:rPr>
      </w:pPr>
      <w:r>
        <w:rPr>
          <w:u w:val="single"/>
          <w:lang w:val="el" w:eastAsia="el"/>
        </w:rPr>
        <w:t xml:space="preserve">- </w:t>
      </w:r>
      <w:r>
        <w:rPr>
          <w:b/>
          <w:bCs/>
          <w:u w:val="single"/>
          <w:lang w:val="el" w:eastAsia="el"/>
        </w:rPr>
        <w:t>Ανιχνευτής ιονισμού φλόγας (FID)</w:t>
      </w:r>
    </w:p>
    <w:p>
      <w:pPr>
        <w:spacing w:before="240" w:after="240"/>
        <w:rPr>
          <w:lang w:val="el" w:eastAsia="el"/>
        </w:rPr>
      </w:pPr>
      <w:r>
        <w:rPr>
          <w:b/>
          <w:bCs/>
          <w:u w:val="single"/>
          <w:lang w:val="el" w:eastAsia="el"/>
        </w:rPr>
        <w:t>Χρησιμοποιείται ανιχνευτής ιονισμού φλόγας (FID), ο οποίος λειτουργεί σε θερμοκρασία 260ºC.</w:t>
      </w:r>
    </w:p>
    <w:p>
      <w:pPr>
        <w:spacing w:before="240" w:after="240"/>
        <w:rPr>
          <w:lang w:val="el" w:eastAsia="el"/>
        </w:rPr>
      </w:pPr>
      <w:r>
        <w:rPr>
          <w:u w:val="single"/>
          <w:lang w:val="el" w:eastAsia="el"/>
        </w:rPr>
        <w:t xml:space="preserve">- </w:t>
      </w:r>
      <w:r>
        <w:rPr>
          <w:b/>
          <w:bCs/>
          <w:u w:val="single"/>
          <w:lang w:val="el" w:eastAsia="el"/>
        </w:rPr>
        <w:t>Ανιχνευτής μάζας (MS Detector)</w:t>
      </w:r>
    </w:p>
    <w:p>
      <w:pPr>
        <w:spacing w:before="240" w:after="240"/>
        <w:rPr>
          <w:lang w:val="el" w:eastAsia="el"/>
        </w:rPr>
      </w:pPr>
      <w:r>
        <w:rPr>
          <w:b/>
          <w:bCs/>
          <w:u w:val="single"/>
          <w:lang w:val="el" w:eastAsia="el"/>
        </w:rPr>
        <w:t>Χρησιμοποιείται ανιχνευτής μάζας (MS Detector) με ιονισμό δέσμης ηλεκτρονίων και παρακολούθηση επιλεγμένου ιόντος (SIM), ο οποίος λειτουργεί σύμφωνα με τις ακόλουθες συνθήκες:</w:t>
      </w:r>
    </w:p>
    <w:p>
      <w:pPr>
        <w:spacing w:before="240" w:after="240"/>
        <w:rPr>
          <w:lang w:val="el" w:eastAsia="el"/>
        </w:rPr>
      </w:pPr>
      <w:r>
        <w:rPr>
          <w:b/>
          <w:bCs/>
          <w:u w:val="single"/>
          <w:lang w:val="el" w:eastAsia="el"/>
        </w:rPr>
        <w:t>Η θερμοκρασία της πηγής ιονισμού (ion source) είναι 250ºC. Η θερμοκρασία του τετράπολου (MS Quad) είναι 200ºC. H θερμοκρασία της γραμμής μεταφοράς (transfer line) είναι 260ºC. Ο χρόνος καθυστέρησης του διαλύτη είναι 3,00 min. Ως ιόν για την ποσοτικοποίηση χρησιμοποιείται το m/z: 94 και για την επιβεβαίωση το m/z: 150. Ο χρόνος παραμονής (Dwell time) είναι 100ms.</w:t>
      </w:r>
    </w:p>
    <w:p>
      <w:pPr>
        <w:spacing w:before="240" w:after="240"/>
        <w:rPr>
          <w:lang w:val="el" w:eastAsia="el"/>
        </w:rPr>
      </w:pPr>
      <w:r>
        <w:rPr>
          <w:b/>
          <w:bCs/>
          <w:u w:val="single"/>
          <w:lang w:val="el" w:eastAsia="el"/>
        </w:rPr>
        <w:t>Για την διασφάλιση της ποιότητας των αποτελεσμάτων συνιστάται η εφαρμογή σχήματος εσωτερικού ελέγχου ποιότητας με τακτική ανάλυση δείγματος ελέγχου ποιότητας.</w:t>
      </w:r>
    </w:p>
    <w:p>
      <w:pPr>
        <w:spacing w:before="240" w:after="240"/>
        <w:rPr>
          <w:lang w:val="el" w:eastAsia="el"/>
        </w:rPr>
      </w:pPr>
      <w:r>
        <w:rPr>
          <w:b/>
          <w:bCs/>
          <w:u w:val="single"/>
          <w:lang w:val="el" w:eastAsia="el"/>
        </w:rPr>
        <w:t>Είναι δυνατόν να χρησιμοποιείται εναλλακτική μέθοδος αέριας χρωματογραφίας με τις κατάλληλες στήλες και ανιχνευτές για τον κοινό προσδιορισμό του ACCUTRACE</w:t>
      </w:r>
      <w:r>
        <w:rPr>
          <w:b/>
          <w:bCs/>
          <w:sz w:val="30"/>
          <w:szCs w:val="30"/>
          <w:u w:val="single"/>
          <w:vertAlign w:val="superscript"/>
          <w:lang w:val="el" w:eastAsia="el"/>
        </w:rPr>
        <w:t>TM</w:t>
      </w:r>
      <w:r>
        <w:rPr>
          <w:b/>
          <w:bCs/>
          <w:u w:val="single"/>
          <w:lang w:val="el" w:eastAsia="el"/>
        </w:rPr>
        <w:t xml:space="preserve"> PLUS και των εθνικών ιχνηθετών μοριακής τεχνολογίας FT36 και FT39 , εφόσον μπορεί να αποδειχθεί ότι παρέχει τουλάχιστον την ίδια ορθότητα και τουλάχιστον το ίδιο επίπεδο ακρίβειας με την αναλυτική μέθοδο που αντικαθιστά.</w:t>
      </w:r>
    </w:p>
    <w:p>
      <w:pPr>
        <w:spacing w:before="240" w:after="240"/>
        <w:rPr>
          <w:lang w:val="el" w:eastAsia="el"/>
        </w:rPr>
      </w:pPr>
      <w:r>
        <w:rPr>
          <w:b/>
          <w:bCs/>
          <w:u w:val="single"/>
          <w:lang w:val="el" w:eastAsia="el"/>
        </w:rPr>
        <w:t>Άρθρο 4</w:t>
      </w:r>
    </w:p>
    <w:p>
      <w:pPr>
        <w:spacing w:before="240" w:after="240"/>
        <w:rPr>
          <w:lang w:val="el" w:eastAsia="el"/>
        </w:rPr>
      </w:pPr>
      <w:r>
        <w:rPr>
          <w:b/>
          <w:bCs/>
          <w:u w:val="single"/>
          <w:lang w:val="el" w:eastAsia="el"/>
        </w:rPr>
        <w:t>Χαρακτηριστικά ποιότητας της μεθόδου δοκιμών</w:t>
      </w:r>
    </w:p>
    <w:p>
      <w:pPr>
        <w:spacing w:before="240" w:after="240"/>
        <w:rPr>
          <w:lang w:val="el" w:eastAsia="el"/>
        </w:rPr>
      </w:pPr>
      <w:r>
        <w:rPr>
          <w:b/>
          <w:bCs/>
          <w:u w:val="single"/>
          <w:lang w:val="el" w:eastAsia="el"/>
        </w:rPr>
        <w:t>Τα χαρακτηριστικά επίδοσης της μεθόδου προσδιορίζονται κατόπιν επικύρωσης αυτής σύμφωνα με τις απαιτήσεις του προτύπου ΕΛΟΤ ΕΝ ISO IEC 17025.</w:t>
      </w:r>
    </w:p>
    <w:p>
      <w:pPr>
        <w:spacing w:before="240" w:after="240"/>
        <w:rPr>
          <w:lang w:val="el" w:eastAsia="el"/>
        </w:rPr>
      </w:pPr>
      <w:r>
        <w:rPr>
          <w:b/>
          <w:bCs/>
          <w:u w:val="single"/>
          <w:lang w:val="el" w:eastAsia="el"/>
        </w:rPr>
        <w:t>Σε περιπτώσεις αμφισβητήσεων τα αποτελέσματα των δοκιμών αξιολογούνται και ερμηνεύονται σύμφωνα με το πρότυπο ΕΛΟΤ ΕΝ ISO 4259:2018.</w:t>
      </w:r>
    </w:p>
    <w:p>
      <w:pPr>
        <w:spacing w:before="240" w:after="240"/>
        <w:rPr>
          <w:lang w:val="el" w:eastAsia="el"/>
        </w:rPr>
      </w:pPr>
      <w:r>
        <w:rPr>
          <w:b/>
          <w:bCs/>
          <w:u w:val="single"/>
          <w:lang w:val="el" w:eastAsia="el"/>
        </w:rPr>
        <w:t>Άρθρο 5</w:t>
      </w:r>
    </w:p>
    <w:p>
      <w:pPr>
        <w:spacing w:before="240" w:after="240"/>
        <w:rPr>
          <w:lang w:val="el" w:eastAsia="el"/>
        </w:rPr>
      </w:pPr>
      <w:r>
        <w:rPr>
          <w:b/>
          <w:bCs/>
          <w:u w:val="single"/>
          <w:lang w:val="el" w:eastAsia="el"/>
        </w:rPr>
        <w:t>Μέθοδος δοκιμής στους επιτόπιους ελέγχους</w:t>
      </w:r>
    </w:p>
    <w:p>
      <w:pPr>
        <w:spacing w:before="240" w:after="240"/>
        <w:rPr>
          <w:lang w:val="el" w:eastAsia="el"/>
        </w:rPr>
      </w:pPr>
      <w:r>
        <w:rPr>
          <w:b/>
          <w:bCs/>
          <w:u w:val="single"/>
          <w:lang w:val="el" w:eastAsia="el"/>
        </w:rPr>
        <w:t>Για ενδεικτικές δοκιμές ελέγχου επί του πεδίου το δείγμα ενεργειακού προϊόντος, χωρίς προηγούμενη επεξεργασία, αναλύεται με κατάλληλη συσκευή αέριας χρωματογραφίας, με τριχοειδείς στήλες και κατάλληλο θερμοκρασιακό πρόγραμμα, χρησιμοποιώντας κατάλληλους ανιχνευτές (FID ή/και MS).</w:t>
      </w:r>
    </w:p>
    <w:p>
      <w:pPr>
        <w:spacing w:before="240" w:after="240"/>
        <w:rPr>
          <w:lang w:val="el" w:eastAsia="el"/>
        </w:rPr>
      </w:pPr>
      <w:r>
        <w:rPr>
          <w:b/>
          <w:bCs/>
          <w:u w:val="single"/>
          <w:lang w:val="el" w:eastAsia="el"/>
        </w:rPr>
        <w:t>Άρθρο 6</w:t>
      </w:r>
    </w:p>
    <w:p>
      <w:pPr>
        <w:spacing w:before="240" w:after="240"/>
        <w:rPr>
          <w:lang w:val="el" w:eastAsia="el"/>
        </w:rPr>
      </w:pPr>
      <w:r>
        <w:rPr>
          <w:b/>
          <w:bCs/>
          <w:u w:val="single"/>
          <w:lang w:val="el" w:eastAsia="el"/>
        </w:rPr>
        <w:t>Καταργούμενες διατάξεις</w:t>
      </w:r>
    </w:p>
    <w:p>
      <w:pPr>
        <w:spacing w:before="240" w:after="240"/>
        <w:rPr>
          <w:lang w:val="el" w:eastAsia="el"/>
        </w:rPr>
      </w:pPr>
      <w:r>
        <w:rPr>
          <w:b/>
          <w:bCs/>
          <w:u w:val="single"/>
          <w:lang w:val="el" w:eastAsia="el"/>
        </w:rPr>
        <w:t>Από την έναρξη ισχύος της παρούσας καταργούνται:</w:t>
      </w:r>
    </w:p>
    <w:p>
      <w:pPr>
        <w:spacing w:before="240" w:after="240"/>
        <w:rPr>
          <w:lang w:val="el" w:eastAsia="el"/>
        </w:rPr>
      </w:pPr>
      <w:r>
        <w:rPr>
          <w:u w:val="single"/>
          <w:lang w:val="el" w:eastAsia="el"/>
        </w:rPr>
        <w:t xml:space="preserve">1) </w:t>
      </w:r>
      <w:r>
        <w:rPr>
          <w:b/>
          <w:bCs/>
          <w:u w:val="single"/>
          <w:lang w:val="el" w:eastAsia="el"/>
        </w:rPr>
        <w:t>Η παρ. II του άρθρου 2 της απόφασης Α.Χ.Σ. 468/2002 (ΦΕΚ Β` 1273/2003), “Διαδικασίες χρωματισμού και ιχνηθέτησης πετρελαίου θέρμανσης”.</w:t>
      </w:r>
    </w:p>
    <w:p>
      <w:pPr>
        <w:spacing w:before="240" w:after="240"/>
        <w:rPr>
          <w:lang w:val="el" w:eastAsia="el"/>
        </w:rPr>
      </w:pPr>
      <w:r>
        <w:rPr>
          <w:u w:val="single"/>
          <w:lang w:val="el" w:eastAsia="el"/>
        </w:rPr>
        <w:t xml:space="preserve">2) </w:t>
      </w:r>
      <w:r>
        <w:rPr>
          <w:b/>
          <w:bCs/>
          <w:u w:val="single"/>
          <w:lang w:val="el" w:eastAsia="el"/>
        </w:rPr>
        <w:t>Το δεύτερο και το τρίτο εδάφιο της παρ. 1 του άρθρου 2 της απόφασης Α.Χ.Σ. 469/2002 (ΦΕΚ Β` 1273/2003), “Προδιαγραφές και μέθοδοι ελέγχου κηροζίνης θέρμανσης.</w:t>
      </w:r>
    </w:p>
    <w:p>
      <w:pPr>
        <w:spacing w:before="240" w:after="240"/>
        <w:rPr>
          <w:lang w:val="el" w:eastAsia="el"/>
        </w:rPr>
      </w:pPr>
      <w:r>
        <w:rPr>
          <w:b/>
          <w:bCs/>
          <w:u w:val="single"/>
          <w:lang w:val="el" w:eastAsia="el"/>
        </w:rPr>
        <w:t>Ο ΠΡΟΕΔΡΟΣ Η ΓΡΑΜΜΑΤΕΑΣ</w:t>
      </w:r>
    </w:p>
    <w:p>
      <w:pPr>
        <w:spacing w:before="240" w:after="240"/>
        <w:rPr>
          <w:lang w:val="el" w:eastAsia="el"/>
        </w:rPr>
      </w:pPr>
      <w:r>
        <w:rPr>
          <w:b/>
          <w:bCs/>
          <w:u w:val="single"/>
          <w:lang w:val="el" w:eastAsia="el"/>
        </w:rPr>
        <w:t>ΕΛΕΝΗ ΜΠΑΝΙΑ-ΓΕΩΡΓΟΠΟΥΛΟΥ»</w:t>
      </w:r>
    </w:p>
    <w:p>
      <w:pPr>
        <w:pStyle w:val="Heading6"/>
        <w:spacing w:before="240" w:after="240"/>
        <w:rPr>
          <w:lang w:val="el" w:eastAsia="el"/>
        </w:rPr>
      </w:pPr>
      <w:r>
        <w:rPr>
          <w:b/>
          <w:bCs/>
          <w:u w:val="single"/>
          <w:lang w:val="el" w:eastAsia="el"/>
        </w:rPr>
        <w:t>Άρθρο 2</w:t>
      </w:r>
      <w:r>
        <w:rPr>
          <w:u w:val="single"/>
          <w:lang w:val="el" w:eastAsia="el"/>
        </w:rPr>
        <w:t xml:space="preserve"> </w:t>
      </w:r>
    </w:p>
    <w:p>
      <w:pPr>
        <w:pStyle w:val="Heading6"/>
        <w:spacing w:before="240" w:after="240"/>
        <w:rPr>
          <w:lang w:val="el" w:eastAsia="el"/>
        </w:rPr>
      </w:pPr>
      <w:r>
        <w:rPr>
          <w:b/>
          <w:bCs/>
          <w:u w:val="single"/>
          <w:lang w:val="el" w:eastAsia="el"/>
        </w:rPr>
        <w:t>Διαχείριση αποθεμάτων</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Επιτρέπεται η διάθεση στην κατανάλωση των αποθεμάτων πετρελαίου θέρμανσης και φωτιστικού πετρελαίου (κηροζίνης) θέρμανσης τα οποία έχουν φορολογική σήμανση τον Solvent Yellow 124 και :</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είτε έχουν τεθεί σε ανάλωση και έχει πραγματοποιηθεί η φυσική τους έξοδος από τις φορολογικές αποθήκες έως την ημερομηνία έναρξης ισχύος της παρούσας, β) είτε κατά την ημερομηνία έναρξης ισχύος της παρούσης τελούν υπό καθεστώς αναστολής σε φορολογικές αποθήκες ή αποθήκες τελωνειακής αποταμίευσης,</w:t>
      </w:r>
    </w:p>
    <w:p>
      <w:pPr>
        <w:spacing w:before="240" w:after="240"/>
        <w:rPr>
          <w:lang w:val="el" w:eastAsia="el"/>
        </w:rPr>
      </w:pPr>
      <w:r>
        <w:rPr>
          <w:b/>
          <w:bCs/>
          <w:u w:val="single"/>
          <w:lang w:val="el" w:eastAsia="el"/>
        </w:rPr>
        <w:t>μέχρι την εξάντλησή τους και όχι πέραν της 30/04/2024.</w:t>
      </w:r>
    </w:p>
    <w:p>
      <w:pPr>
        <w:pStyle w:val="MainText"/>
        <w:spacing w:before="120" w:after="0"/>
        <w:rPr>
          <w:lang w:val="el" w:eastAsia="el"/>
        </w:rPr>
      </w:pPr>
      <w:r>
        <w:rPr>
          <w:b/>
          <w:bCs/>
          <w:u w:val="single"/>
          <w:lang w:val="el" w:eastAsia="el"/>
        </w:rPr>
        <w:t>2.</w:t>
      </w:r>
      <w:r>
        <w:rPr>
          <w:u w:val="single"/>
          <w:lang w:val="el" w:eastAsia="el"/>
        </w:rPr>
        <w:t xml:space="preserve"> </w:t>
      </w:r>
      <w:r>
        <w:rPr>
          <w:b/>
          <w:bCs/>
          <w:u w:val="single"/>
          <w:lang w:val="el" w:eastAsia="el"/>
        </w:rPr>
        <w:t>Η διάθεση στην κατανάλωση των προϊόντων της παρ. 1, δύναται να πραγματοποιείται, έως 30/04/2024, είτε αυτά περιέχουν μόνο τον φορολογικό ιχνηθέτη Solvent Yellow 124, είτε τον εν λόγω φορολογικό ιχνηθέτη, ταυτόχρονα με τον φορολογικό ιχνηθέτη ACCUTRACE</w:t>
      </w:r>
      <w:r>
        <w:rPr>
          <w:b/>
          <w:bCs/>
          <w:sz w:val="30"/>
          <w:szCs w:val="30"/>
          <w:u w:val="single"/>
          <w:vertAlign w:val="superscript"/>
          <w:lang w:val="el" w:eastAsia="el"/>
        </w:rPr>
        <w:t>TM</w:t>
      </w:r>
      <w:r>
        <w:rPr>
          <w:b/>
          <w:bCs/>
          <w:u w:val="single"/>
          <w:lang w:val="el" w:eastAsia="el"/>
        </w:rPr>
        <w:t xml:space="preserve"> PLUS.</w:t>
      </w:r>
    </w:p>
    <w:p>
      <w:pPr>
        <w:pStyle w:val="Heading6"/>
        <w:spacing w:before="240" w:after="240"/>
        <w:rPr>
          <w:lang w:val="el" w:eastAsia="el"/>
        </w:rPr>
      </w:pPr>
      <w:r>
        <w:rPr>
          <w:b/>
          <w:bCs/>
          <w:u w:val="single"/>
          <w:lang w:val="el" w:eastAsia="el"/>
        </w:rPr>
        <w:t xml:space="preserve">Άρθρο </w:t>
      </w:r>
    </w:p>
    <w:p>
      <w:pPr>
        <w:pStyle w:val="Heading6"/>
        <w:spacing w:before="240" w:after="240"/>
        <w:rPr>
          <w:lang w:val="el" w:eastAsia="el"/>
        </w:rPr>
      </w:pPr>
      <w:r>
        <w:rPr>
          <w:b/>
          <w:bCs/>
          <w:u w:val="single"/>
          <w:lang w:val="el" w:eastAsia="el"/>
        </w:rPr>
        <w:t>3Έναρξη ισχύος</w:t>
      </w:r>
    </w:p>
    <w:p>
      <w:pPr>
        <w:spacing w:before="240" w:after="240"/>
        <w:rPr>
          <w:lang w:val="el" w:eastAsia="el"/>
        </w:rPr>
      </w:pPr>
      <w:r>
        <w:rPr>
          <w:u w:val="single"/>
          <w:lang w:val="el" w:eastAsia="el"/>
        </w:rPr>
        <w:t xml:space="preserve">1) </w:t>
      </w:r>
      <w:r>
        <w:rPr>
          <w:b/>
          <w:bCs/>
          <w:u w:val="single"/>
          <w:lang w:val="el" w:eastAsia="el"/>
        </w:rPr>
        <w:t>Η ισχύς της παρούσας αρχίζει από 01/12/2023.</w:t>
      </w:r>
    </w:p>
    <w:p>
      <w:pPr>
        <w:spacing w:before="240" w:after="240"/>
        <w:rPr>
          <w:lang w:val="el" w:eastAsia="el"/>
        </w:rPr>
      </w:pPr>
      <w:r>
        <w:rPr>
          <w:u w:val="single"/>
          <w:lang w:val="el" w:eastAsia="el"/>
        </w:rPr>
        <w:t xml:space="preserve">2) </w:t>
      </w:r>
      <w:r>
        <w:rPr>
          <w:b/>
          <w:bCs/>
          <w:u w:val="single"/>
          <w:lang w:val="el" w:eastAsia="el"/>
        </w:rPr>
        <w:t>Η παρούσα απόφαση να δημοσιευθεί στην Εφημερίδα της Κυβερνήσεως.</w:t>
      </w:r>
    </w:p>
    <w:p>
      <w:pPr>
        <w:spacing w:before="240" w:after="240"/>
        <w:rPr>
          <w:lang w:val="el" w:eastAsia="el"/>
        </w:rPr>
      </w:pPr>
      <w:r>
        <w:rPr>
          <w:b/>
          <w:bCs/>
          <w:u w:val="single"/>
          <w:lang w:val="el" w:eastAsia="el"/>
        </w:rPr>
        <w:t>Ο ΥΦΥΠΟΥΡΓΟΣ Η ΥΦΥΠΟΥΡΓΟΣ</w:t>
      </w:r>
    </w:p>
    <w:p>
      <w:pPr>
        <w:spacing w:before="240" w:after="240"/>
        <w:rPr>
          <w:lang w:val="el" w:eastAsia="el"/>
        </w:rPr>
      </w:pPr>
      <w:r>
        <w:rPr>
          <w:b/>
          <w:bCs/>
          <w:u w:val="single"/>
          <w:lang w:val="el" w:eastAsia="el"/>
        </w:rPr>
        <w:t>ΕΘΝΙΚΗΣ ΟΙΚΟΝΟΜΙΑΣ &amp; ΟΙΚΟΝΟΜΙΚΩΝ ΠΕΡΙΒΑΛΛΟΝΤΟΣ ΚΑΙ ΕΝΕΡΓΕΙΑΣ</w:t>
      </w:r>
    </w:p>
    <w:p>
      <w:pPr>
        <w:spacing w:before="240" w:after="240"/>
        <w:rPr>
          <w:lang w:val="el" w:eastAsia="el"/>
        </w:rPr>
      </w:pPr>
      <w:r>
        <w:rPr>
          <w:b/>
          <w:bCs/>
          <w:u w:val="single"/>
          <w:lang w:val="el" w:eastAsia="el"/>
        </w:rPr>
        <w:t>Γραφείο Υπουργού Ναυτιλίας &amp; Νησιωτικής Πολιτικής</w:t>
      </w:r>
    </w:p>
    <w:p>
      <w:pPr>
        <w:pStyle w:val="MainText"/>
        <w:spacing w:before="120" w:after="0"/>
        <w:rPr>
          <w:lang w:val="el" w:eastAsia="el"/>
        </w:rPr>
      </w:pPr>
      <w:r>
        <w:rPr>
          <w:b/>
          <w:bCs/>
          <w:u w:val="single"/>
          <w:lang w:val="el" w:eastAsia="el"/>
        </w:rPr>
        <w:t>9.</w:t>
      </w:r>
      <w:r>
        <w:rPr>
          <w:u w:val="single"/>
          <w:lang w:val="el" w:eastAsia="el"/>
        </w:rPr>
        <w:t xml:space="preserve"> </w:t>
      </w:r>
      <w:r>
        <w:rPr>
          <w:b/>
          <w:bCs/>
          <w:u w:val="single"/>
          <w:lang w:val="el" w:eastAsia="el"/>
        </w:rPr>
        <w:t>Τελωνεία Α’ και Β’ τάξης</w:t>
      </w:r>
    </w:p>
    <w:p>
      <w:pPr>
        <w:pStyle w:val="MainText"/>
        <w:spacing w:before="120" w:after="0"/>
        <w:rPr>
          <w:lang w:val="el" w:eastAsia="el"/>
        </w:rPr>
      </w:pPr>
      <w:r>
        <w:rPr>
          <w:b/>
          <w:bCs/>
          <w:u w:val="single"/>
          <w:lang w:val="el" w:eastAsia="el"/>
        </w:rPr>
        <w:t>10.</w:t>
      </w:r>
      <w:r>
        <w:rPr>
          <w:u w:val="single"/>
          <w:lang w:val="el" w:eastAsia="el"/>
        </w:rPr>
        <w:t xml:space="preserve"> </w:t>
      </w:r>
      <w:r>
        <w:rPr>
          <w:b/>
          <w:bCs/>
          <w:u w:val="single"/>
          <w:lang w:val="el" w:eastAsia="el"/>
        </w:rPr>
        <w:t>Επιτελική Υπηρεσία Τελωνειακών Ελέγχων (Ε.Υ.Τ.Ε.),</w:t>
      </w:r>
    </w:p>
    <w:p>
      <w:pPr>
        <w:pStyle w:val="MainText"/>
        <w:spacing w:before="120" w:after="0"/>
        <w:rPr>
          <w:lang w:val="el" w:eastAsia="el"/>
        </w:rPr>
      </w:pPr>
      <w:r>
        <w:rPr>
          <w:b/>
          <w:bCs/>
          <w:u w:val="single"/>
          <w:lang w:val="el" w:eastAsia="el"/>
        </w:rPr>
        <w:t>11.</w:t>
      </w:r>
      <w:r>
        <w:rPr>
          <w:u w:val="single"/>
          <w:lang w:val="el" w:eastAsia="el"/>
        </w:rPr>
        <w:t xml:space="preserve"> </w:t>
      </w:r>
      <w:r>
        <w:rPr>
          <w:b/>
          <w:bCs/>
          <w:u w:val="single"/>
          <w:lang w:val="el" w:eastAsia="el"/>
        </w:rPr>
        <w:t>Ελεγκτικές Υπηρεσίες Τελωνείων (ΕΛ.Υ.Τ.) Αττικής – Θεσσαλονίκης</w:t>
      </w:r>
    </w:p>
    <w:p>
      <w:pPr>
        <w:pStyle w:val="MainText"/>
        <w:spacing w:before="120" w:after="0"/>
        <w:rPr>
          <w:lang w:val="el" w:eastAsia="el"/>
        </w:rPr>
      </w:pPr>
      <w:r>
        <w:rPr>
          <w:b/>
          <w:bCs/>
          <w:u w:val="single"/>
          <w:lang w:val="el" w:eastAsia="el"/>
        </w:rPr>
        <w:t>12.</w:t>
      </w:r>
      <w:r>
        <w:rPr>
          <w:u w:val="single"/>
          <w:lang w:val="el" w:eastAsia="el"/>
        </w:rPr>
        <w:t xml:space="preserve"> </w:t>
      </w:r>
      <w:r>
        <w:rPr>
          <w:b/>
          <w:bCs/>
          <w:u w:val="single"/>
          <w:lang w:val="el" w:eastAsia="el"/>
        </w:rPr>
        <w:t>Συντονιστικό Επιχειρησιακό Κέντρο (Σ.Ε.Κ.)</w:t>
      </w:r>
    </w:p>
    <w:p>
      <w:pPr>
        <w:pStyle w:val="MainText"/>
        <w:spacing w:before="120" w:after="0"/>
        <w:rPr>
          <w:lang w:val="el" w:eastAsia="el"/>
        </w:rPr>
      </w:pPr>
      <w:r>
        <w:rPr>
          <w:b/>
          <w:bCs/>
          <w:u w:val="single"/>
          <w:lang w:val="el" w:eastAsia="el"/>
        </w:rPr>
        <w:t>13.</w:t>
      </w:r>
      <w:r>
        <w:rPr>
          <w:u w:val="single"/>
          <w:lang w:val="el" w:eastAsia="el"/>
        </w:rPr>
        <w:t xml:space="preserve"> </w:t>
      </w:r>
      <w:r>
        <w:rPr>
          <w:b/>
          <w:bCs/>
          <w:u w:val="single"/>
          <w:lang w:val="el" w:eastAsia="el"/>
        </w:rPr>
        <w:t>Υπηρεσίες Ερευνών και Διασφάλισης Δημοσίων Εσόδων (Υ.Ε.Δ.Δ.Ε.)</w:t>
      </w:r>
    </w:p>
    <w:p>
      <w:pPr>
        <w:pStyle w:val="MainText"/>
        <w:spacing w:before="120" w:after="0"/>
        <w:rPr>
          <w:lang w:val="el" w:eastAsia="el"/>
        </w:rPr>
      </w:pPr>
      <w:r>
        <w:rPr>
          <w:b/>
          <w:bCs/>
          <w:u w:val="single"/>
          <w:lang w:val="el" w:eastAsia="el"/>
        </w:rPr>
        <w:t>14.</w:t>
      </w:r>
      <w:r>
        <w:rPr>
          <w:u w:val="single"/>
          <w:lang w:val="el" w:eastAsia="el"/>
        </w:rPr>
        <w:t xml:space="preserve"> </w:t>
      </w:r>
      <w:r>
        <w:rPr>
          <w:b/>
          <w:bCs/>
          <w:u w:val="single"/>
          <w:lang w:val="el" w:eastAsia="el"/>
        </w:rPr>
        <w:t>Γενική Δ/νση Σώματος Δίωξης Οικονομικούς Εγκλήματος (ΣΔΟΕ) του Υπουργείου Εθνικής Οικονομίας &amp;Οικονομικών</w:t>
      </w:r>
    </w:p>
    <w:p>
      <w:pPr>
        <w:pStyle w:val="MainText"/>
        <w:spacing w:before="120" w:after="0"/>
        <w:rPr>
          <w:lang w:val="el" w:eastAsia="el"/>
        </w:rPr>
      </w:pPr>
      <w:r>
        <w:rPr>
          <w:b/>
          <w:bCs/>
          <w:u w:val="single"/>
          <w:lang w:val="el" w:eastAsia="el"/>
        </w:rPr>
        <w:t>15.</w:t>
      </w:r>
      <w:r>
        <w:rPr>
          <w:u w:val="single"/>
          <w:lang w:val="el" w:eastAsia="el"/>
        </w:rPr>
        <w:t xml:space="preserve"> </w:t>
      </w:r>
      <w:r>
        <w:rPr>
          <w:b/>
          <w:bCs/>
          <w:u w:val="single"/>
          <w:lang w:val="el" w:eastAsia="el"/>
        </w:rPr>
        <w:t>Αυτοτελές Τμήμα Διεθνών Τελωνειακών Σχέσεων</w:t>
      </w:r>
    </w:p>
    <w:p>
      <w:pPr>
        <w:pStyle w:val="MainText"/>
        <w:spacing w:before="120" w:after="0"/>
        <w:rPr>
          <w:lang w:val="el" w:eastAsia="el"/>
        </w:rPr>
      </w:pPr>
      <w:r>
        <w:rPr>
          <w:b/>
          <w:bCs/>
          <w:u w:val="single"/>
          <w:lang w:val="el" w:eastAsia="el"/>
        </w:rPr>
        <w:t>16.</w:t>
      </w:r>
      <w:r>
        <w:rPr>
          <w:u w:val="single"/>
          <w:lang w:val="el" w:eastAsia="el"/>
        </w:rPr>
        <w:t xml:space="preserve"> </w:t>
      </w:r>
      <w:r>
        <w:rPr>
          <w:b/>
          <w:bCs/>
          <w:u w:val="single"/>
          <w:lang w:val="el" w:eastAsia="el"/>
        </w:rPr>
        <w:t>Δ/νση Εσωτερικού Ελέγχου</w:t>
      </w:r>
    </w:p>
    <w:p>
      <w:pPr>
        <w:pStyle w:val="MainText"/>
        <w:spacing w:before="120" w:after="0"/>
        <w:rPr>
          <w:lang w:val="el" w:eastAsia="el"/>
        </w:rPr>
      </w:pPr>
      <w:r>
        <w:rPr>
          <w:b/>
          <w:bCs/>
          <w:u w:val="single"/>
          <w:lang w:val="el" w:eastAsia="el"/>
        </w:rPr>
        <w:t>17.</w:t>
      </w:r>
      <w:r>
        <w:rPr>
          <w:u w:val="single"/>
          <w:lang w:val="el" w:eastAsia="el"/>
        </w:rPr>
        <w:t xml:space="preserve"> </w:t>
      </w:r>
      <w:r>
        <w:rPr>
          <w:b/>
          <w:bCs/>
          <w:u w:val="single"/>
          <w:lang w:val="el" w:eastAsia="el"/>
        </w:rPr>
        <w:t>Δ/νση Νομικής Υποστήριξης Α.Α.Δ.Ε.</w:t>
      </w:r>
    </w:p>
    <w:p>
      <w:pPr>
        <w:spacing w:before="240" w:after="240"/>
        <w:rPr>
          <w:lang w:val="el" w:eastAsia="el"/>
        </w:rPr>
      </w:pPr>
      <w:r>
        <w:rPr>
          <w:b/>
          <w:bCs/>
          <w:u w:val="single"/>
          <w:lang w:val="el" w:eastAsia="el"/>
        </w:rPr>
        <w:t>Δ/νση Επικοινωνίας ΑΑΔΕ</w:t>
      </w:r>
    </w:p>
    <w:p>
      <w:pPr>
        <w:spacing w:before="240" w:after="240"/>
        <w:rPr>
          <w:lang w:val="el" w:eastAsia="el"/>
        </w:rPr>
      </w:pPr>
      <w:r>
        <w:rPr>
          <w:b/>
          <w:bCs/>
          <w:u w:val="single"/>
          <w:lang w:val="el" w:eastAsia="el"/>
        </w:rPr>
        <w:t>Δ/νση Εξυπηρέτησης ΑΑΔΕ</w:t>
      </w:r>
    </w:p>
    <w:p>
      <w:pPr>
        <w:pStyle w:val="MainText"/>
        <w:spacing w:before="120" w:after="0"/>
        <w:rPr>
          <w:lang w:val="el" w:eastAsia="el"/>
        </w:rPr>
      </w:pPr>
      <w:r>
        <w:rPr>
          <w:b/>
          <w:bCs/>
          <w:u w:val="single"/>
          <w:lang w:val="el" w:eastAsia="el"/>
        </w:rPr>
        <w:t>20.</w:t>
      </w:r>
      <w:r>
        <w:rPr>
          <w:u w:val="single"/>
          <w:lang w:val="el" w:eastAsia="el"/>
        </w:rPr>
        <w:t xml:space="preserve"> </w:t>
      </w:r>
      <w:r>
        <w:rPr>
          <w:b/>
          <w:bCs/>
          <w:u w:val="single"/>
          <w:lang w:val="el" w:eastAsia="el"/>
        </w:rPr>
        <w:t>ΦΟ.Τ.Α.</w:t>
      </w:r>
    </w:p>
    <w:p>
      <w:pPr>
        <w:pStyle w:val="MainText"/>
        <w:spacing w:before="120" w:after="0"/>
        <w:rPr>
          <w:lang w:val="el" w:eastAsia="el"/>
        </w:rPr>
      </w:pPr>
      <w:r>
        <w:rPr>
          <w:b/>
          <w:bCs/>
          <w:u w:val="single"/>
          <w:lang w:val="el" w:eastAsia="el"/>
        </w:rPr>
        <w:t>21.</w:t>
      </w:r>
      <w:r>
        <w:rPr>
          <w:u w:val="single"/>
          <w:lang w:val="el" w:eastAsia="el"/>
        </w:rPr>
        <w:t xml:space="preserve"> </w:t>
      </w:r>
      <w:r>
        <w:rPr>
          <w:b/>
          <w:bCs/>
          <w:u w:val="single"/>
          <w:lang w:val="el" w:eastAsia="el"/>
        </w:rPr>
        <w:t>Σύνδεσμος Εταιρειών Εμπορίας Πετρελαιοειδών (ΣΕΕΠΕ), Ίωνος Δραγούμη 46, 11528, Ιλίσια, email:</w:t>
      </w:r>
      <w:hyperlink r:id="rId8" w:history="1">
        <w:r>
          <w:rPr>
            <w:rStyle w:val="Hyperlink"/>
            <w:b/>
            <w:bCs/>
            <w:color w:val="0000EE"/>
            <w:u w:color="0000EE"/>
            <w:lang w:val="el" w:eastAsia="el"/>
          </w:rPr>
          <w:t>seepe@seepe.gr</w:t>
        </w:r>
      </w:hyperlink>
    </w:p>
    <w:p>
      <w:pPr>
        <w:pStyle w:val="MainText"/>
        <w:spacing w:before="120" w:after="0"/>
        <w:rPr>
          <w:lang w:val="el" w:eastAsia="el"/>
        </w:rPr>
      </w:pPr>
      <w:r>
        <w:rPr>
          <w:b/>
          <w:bCs/>
          <w:u w:val="single"/>
          <w:lang w:val="el" w:eastAsia="el"/>
        </w:rPr>
        <w:t>22.</w:t>
      </w:r>
      <w:r>
        <w:rPr>
          <w:b/>
          <w:bCs/>
          <w:u w:val="single"/>
          <w:lang w:val="el" w:eastAsia="el"/>
        </w:rPr>
        <w:t xml:space="preserve"> </w:t>
      </w:r>
      <w:r>
        <w:rPr>
          <w:b/>
          <w:bCs/>
          <w:u w:val="single"/>
          <w:lang w:val="el" w:eastAsia="el"/>
        </w:rPr>
        <w:t>Ελληνικά Πετρέλαια Α.Ε. - Γενική Δ/νση Εφοδιασμού &amp; Εμπορίας- Δ/νση Προγραμματισμού Παραγωγής – Τμήμα Προδιαγραφών και Σχέσεων με το Δημόσιο - Χειμάρας 8Α, 15125, email:</w:t>
      </w:r>
      <w:hyperlink r:id="rId9" w:history="1">
        <w:r>
          <w:rPr>
            <w:rStyle w:val="Hyperlink"/>
            <w:b/>
            <w:bCs/>
            <w:color w:val="0000EE"/>
            <w:u w:color="0000EE"/>
            <w:lang w:val="el" w:eastAsia="el"/>
          </w:rPr>
          <w:t>helpe@helpe.gr</w:t>
        </w:r>
      </w:hyperlink>
    </w:p>
    <w:p>
      <w:pPr>
        <w:spacing w:before="240" w:after="240"/>
        <w:rPr>
          <w:lang w:val="el" w:eastAsia="el"/>
        </w:rPr>
      </w:pPr>
      <w:r>
        <w:rPr>
          <w:b/>
          <w:bCs/>
          <w:u w:val="single"/>
          <w:lang w:val="el" w:eastAsia="el"/>
        </w:rPr>
        <w:t>MOTOR OIL (ΕΛΛΑΣ) Α.Ε.</w:t>
      </w:r>
    </w:p>
    <w:p>
      <w:pPr>
        <w:pStyle w:val="MainText"/>
        <w:spacing w:before="120" w:after="0"/>
        <w:rPr>
          <w:lang w:val="el" w:eastAsia="el"/>
        </w:rPr>
      </w:pPr>
      <w:r>
        <w:rPr>
          <w:b/>
          <w:bCs/>
          <w:u w:val="single"/>
          <w:lang w:val="el" w:eastAsia="el"/>
        </w:rPr>
        <w:t>23.</w:t>
      </w:r>
      <w:r>
        <w:rPr>
          <w:b/>
          <w:bCs/>
          <w:u w:val="single"/>
          <w:lang w:val="el" w:eastAsia="el"/>
        </w:rPr>
        <w:t xml:space="preserve"> </w:t>
      </w:r>
      <w:r>
        <w:rPr>
          <w:b/>
          <w:bCs/>
          <w:u w:val="single"/>
          <w:lang w:val="el" w:eastAsia="el"/>
        </w:rPr>
        <w:t>α) ΔΙΥΛΙΣΤΗΡΙΑ ΚΟΡΙΝΘΟΥ Α.Ε., email:</w:t>
      </w:r>
      <w:hyperlink r:id="rId10" w:history="1">
        <w:r>
          <w:rPr>
            <w:rStyle w:val="Hyperlink"/>
            <w:b/>
            <w:bCs/>
            <w:color w:val="0000EE"/>
            <w:u w:color="0000EE"/>
            <w:lang w:val="el" w:eastAsia="el"/>
          </w:rPr>
          <w:t>motoroil.refinery@moh.gr</w:t>
        </w:r>
      </w:hyperlink>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Ηρώδου Αττικού 12Α ,15 124 Μαρούσι, email:</w:t>
      </w:r>
      <w:hyperlink r:id="rId11" w:history="1">
        <w:r>
          <w:rPr>
            <w:rStyle w:val="Hyperlink"/>
            <w:b/>
            <w:bCs/>
            <w:color w:val="0000EE"/>
            <w:u w:color="0000EE"/>
            <w:lang w:val="el" w:eastAsia="el"/>
          </w:rPr>
          <w:t>info@moh.gr</w:t>
        </w:r>
      </w:hyperlink>
    </w:p>
    <w:p>
      <w:pPr>
        <w:pStyle w:val="MainText"/>
        <w:spacing w:before="120" w:after="0"/>
        <w:rPr>
          <w:lang w:val="el" w:eastAsia="el"/>
        </w:rPr>
      </w:pPr>
      <w:r>
        <w:rPr>
          <w:b/>
          <w:bCs/>
          <w:u w:val="single"/>
          <w:lang w:val="el" w:eastAsia="el"/>
        </w:rPr>
        <w:t>24.</w:t>
      </w:r>
      <w:r>
        <w:rPr>
          <w:b/>
          <w:bCs/>
          <w:u w:val="single"/>
          <w:lang w:val="el" w:eastAsia="el"/>
        </w:rPr>
        <w:t xml:space="preserve"> </w:t>
      </w:r>
      <w:r>
        <w:rPr>
          <w:b/>
          <w:bCs/>
          <w:u w:val="single"/>
          <w:lang w:val="el" w:eastAsia="el"/>
        </w:rPr>
        <w:t>Ομοσπονδία Εκτελωνιστών Ελλάδας, 6 Τσαμαδού 38 – Τ.Κ. 18531 – Πειραιάς, email:</w:t>
      </w:r>
      <w:hyperlink r:id="rId12" w:history="1">
        <w:r>
          <w:rPr>
            <w:rStyle w:val="Hyperlink"/>
            <w:b/>
            <w:bCs/>
            <w:color w:val="0000EE"/>
            <w:u w:color="0000EE"/>
            <w:lang w:val="el" w:eastAsia="el"/>
          </w:rPr>
          <w:t>oete@oete.gr</w:t>
        </w:r>
      </w:hyperlink>
    </w:p>
    <w:p>
      <w:pPr>
        <w:pStyle w:val="MainText"/>
        <w:spacing w:before="120" w:after="0"/>
        <w:rPr>
          <w:lang w:val="el" w:eastAsia="el"/>
        </w:rPr>
      </w:pPr>
      <w:r>
        <w:rPr>
          <w:b/>
          <w:bCs/>
          <w:u w:val="single"/>
          <w:lang w:val="el" w:eastAsia="el"/>
        </w:rPr>
        <w:t>25.</w:t>
      </w:r>
      <w:r>
        <w:rPr>
          <w:b/>
          <w:bCs/>
          <w:u w:val="single"/>
          <w:lang w:val="el" w:eastAsia="el"/>
        </w:rPr>
        <w:t xml:space="preserve"> </w:t>
      </w:r>
      <w:r>
        <w:rPr>
          <w:b/>
          <w:bCs/>
          <w:u w:val="single"/>
          <w:lang w:val="el" w:eastAsia="el"/>
        </w:rPr>
        <w:t>Σύλλογος Εκτελωνιστών – Τελωνειακών Αντιπροσώπων Πειραιώς – Αθηνών (ΣΥ.Ε.Τ.Α.Π.Α.),</w:t>
      </w:r>
    </w:p>
    <w:p>
      <w:pPr>
        <w:spacing w:before="240" w:after="240"/>
        <w:rPr>
          <w:lang w:val="el" w:eastAsia="el"/>
        </w:rPr>
      </w:pPr>
      <w:r>
        <w:rPr>
          <w:b/>
          <w:bCs/>
          <w:u w:val="single"/>
          <w:lang w:val="el" w:eastAsia="el"/>
        </w:rPr>
        <w:t>Τσαμαδού 38 – Τ.Κ. 18531 – Πειραιάς, email:</w:t>
      </w:r>
      <w:hyperlink r:id="rId13" w:history="1">
        <w:r>
          <w:rPr>
            <w:rStyle w:val="Hyperlink"/>
            <w:b/>
            <w:bCs/>
            <w:color w:val="0000EE"/>
            <w:u w:color="0000EE"/>
            <w:lang w:val="el" w:eastAsia="el"/>
          </w:rPr>
          <w:t>info@sepa.gr</w:t>
        </w:r>
      </w:hyperlink>
    </w:p>
    <w:p>
      <w:pPr>
        <w:spacing w:before="240" w:after="240"/>
        <w:rPr>
          <w:lang w:val="el" w:eastAsia="el"/>
        </w:rPr>
      </w:pPr>
      <w:r>
        <w:rPr>
          <w:b/>
          <w:bCs/>
          <w:u w:val="single"/>
          <w:lang w:val="el" w:eastAsia="el"/>
        </w:rPr>
        <w:t>Σύλλογος Εκτελωνιστών Θεσσαλονίκης, Κουντουριώτου 13 – Τ.Κ. 54626 – Θεσσαλονίκη, email:</w:t>
      </w:r>
      <w:hyperlink r:id="rId14" w:history="1">
        <w:r>
          <w:rPr>
            <w:rStyle w:val="Hyperlink"/>
            <w:b/>
            <w:bCs/>
            <w:color w:val="0000EE"/>
            <w:u w:color="0000EE"/>
            <w:lang w:val="el" w:eastAsia="el"/>
          </w:rPr>
          <w:t>info@seth.gr</w:t>
        </w:r>
      </w:hyperlink>
    </w:p>
    <w:p>
      <w:pPr>
        <w:spacing w:before="240" w:after="240"/>
        <w:rPr>
          <w:lang w:val="el" w:eastAsia="el"/>
        </w:rPr>
      </w:pPr>
      <w:r>
        <w:rPr>
          <w:b/>
          <w:bCs/>
          <w:u w:val="single"/>
          <w:lang w:val="el" w:eastAsia="el"/>
        </w:rPr>
        <w:t>Κεντρική Ένωση Επιμελητηρίων Ελλάδος, Ακαδημίας 6, TK 106 71 – Αθήνα, email:</w:t>
      </w:r>
      <w:hyperlink r:id="rId15" w:history="1">
        <w:r>
          <w:rPr>
            <w:rStyle w:val="Hyperlink"/>
            <w:b/>
            <w:bCs/>
            <w:color w:val="0000EE"/>
            <w:u w:color="0000EE"/>
            <w:lang w:val="el" w:eastAsia="el"/>
          </w:rPr>
          <w:t>keeuhcci@uhc.gr</w:t>
        </w:r>
      </w:hyperlink>
    </w:p>
    <w:p>
      <w:pPr>
        <w:spacing w:before="240" w:after="240"/>
        <w:rPr>
          <w:lang w:val="el" w:eastAsia="el"/>
        </w:rPr>
      </w:pPr>
      <w:r>
        <w:rPr>
          <w:b/>
          <w:bCs/>
          <w:u w:val="single"/>
          <w:lang w:val="el" w:eastAsia="el"/>
        </w:rPr>
        <w:t>Οικονομικό Επιμελητήριο Ελλάδος, Μητροπόλεως 12-14, ΤΚ 105 63 –Αθήνα, e-mail:</w:t>
      </w:r>
      <w:hyperlink r:id="rId16" w:history="1">
        <w:r>
          <w:rPr>
            <w:rStyle w:val="Hyperlink"/>
            <w:b/>
            <w:bCs/>
            <w:color w:val="0000EE"/>
            <w:u w:color="0000EE"/>
            <w:lang w:val="el" w:eastAsia="el"/>
          </w:rPr>
          <w:t>oee@oee.gr</w:t>
        </w:r>
      </w:hyperlink>
    </w:p>
    <w:p>
      <w:pPr>
        <w:spacing w:before="240" w:after="240"/>
        <w:rPr>
          <w:lang w:val="el" w:eastAsia="el"/>
        </w:rPr>
      </w:pPr>
      <w:r>
        <w:rPr>
          <w:b/>
          <w:bCs/>
          <w:u w:val="single"/>
          <w:lang w:val="el" w:eastAsia="el"/>
        </w:rPr>
        <w:t>Εμπορικό και Βιομηχανικό Επιμελητήριο Αθηνών Ακαδημίας 7, ΤΚ 106 71-Αθήνα ,e-mail:</w:t>
      </w:r>
      <w:hyperlink r:id="rId17" w:history="1">
        <w:r>
          <w:rPr>
            <w:rStyle w:val="Hyperlink"/>
            <w:b/>
            <w:bCs/>
            <w:color w:val="0000EE"/>
            <w:u w:color="0000EE"/>
            <w:lang w:val="el" w:eastAsia="el"/>
          </w:rPr>
          <w:t>info@acci.gr</w:t>
        </w:r>
      </w:hyperlink>
    </w:p>
    <w:p>
      <w:pPr>
        <w:spacing w:before="240" w:after="240"/>
        <w:rPr>
          <w:lang w:val="el" w:eastAsia="el"/>
        </w:rPr>
      </w:pPr>
      <w:r>
        <w:rPr>
          <w:b/>
          <w:bCs/>
          <w:u w:val="single"/>
          <w:lang w:val="el" w:eastAsia="el"/>
        </w:rPr>
        <w:t>Εμπορικό και Βιομηχανικό Επιμελητήριο Θεσσαλονίκης -Τσιμισκή 29, ΤΚ 54624, e-mail:</w:t>
      </w:r>
      <w:hyperlink r:id="rId18" w:history="1">
        <w:r>
          <w:rPr>
            <w:rStyle w:val="Hyperlink"/>
            <w:b/>
            <w:bCs/>
            <w:color w:val="0000EE"/>
            <w:u w:color="0000EE"/>
            <w:lang w:val="el" w:eastAsia="el"/>
          </w:rPr>
          <w:t>root@ebeth.gr</w:t>
        </w:r>
      </w:hyperlink>
    </w:p>
    <w:p>
      <w:pPr>
        <w:spacing w:before="240" w:after="240"/>
        <w:rPr>
          <w:lang w:val="el" w:eastAsia="el"/>
        </w:rPr>
      </w:pPr>
      <w:r>
        <w:rPr>
          <w:b/>
          <w:bCs/>
          <w:u w:val="single"/>
          <w:lang w:val="el" w:eastAsia="el"/>
        </w:rPr>
        <w:t>Ομοσπονδία Βενζινοπωλών Ελλάδος (Ο.Β.Ε.), email:</w:t>
      </w:r>
      <w:hyperlink r:id="rId19" w:history="1">
        <w:r>
          <w:rPr>
            <w:rStyle w:val="Hyperlink"/>
            <w:b/>
            <w:bCs/>
            <w:color w:val="0000EE"/>
            <w:u w:color="0000EE"/>
            <w:lang w:val="el" w:eastAsia="el"/>
          </w:rPr>
          <w:t>info@obe.gr</w:t>
        </w:r>
      </w:hyperlink>
    </w:p>
    <w:p>
      <w:pPr>
        <w:spacing w:before="240" w:after="240"/>
        <w:rPr>
          <w:lang w:val="el" w:eastAsia="el"/>
        </w:rPr>
      </w:pPr>
      <w:r>
        <w:rPr>
          <w:b/>
          <w:bCs/>
          <w:u w:val="single"/>
          <w:lang w:val="el" w:eastAsia="el"/>
        </w:rPr>
        <w:t>Πανελλήνια Ομοσπονδία Πρατηριούχων Εμπόρων Καυσίμων (ΠΟΠΕΚ), email:</w:t>
      </w:r>
      <w:hyperlink r:id="rId20" w:history="1">
        <w:r>
          <w:rPr>
            <w:rStyle w:val="Hyperlink"/>
            <w:b/>
            <w:bCs/>
            <w:color w:val="0000EE"/>
            <w:u w:color="0000EE"/>
            <w:lang w:val="el" w:eastAsia="el"/>
          </w:rPr>
          <w:t>popek@popek.gr</w:t>
        </w:r>
      </w:hyperlink>
    </w:p>
    <w:p>
      <w:pPr>
        <w:spacing w:before="240" w:after="240"/>
        <w:rPr>
          <w:lang w:val="el" w:eastAsia="el"/>
        </w:rPr>
      </w:pPr>
      <w:r>
        <w:rPr>
          <w:b/>
          <w:bCs/>
          <w:u w:val="single"/>
          <w:lang w:val="el" w:eastAsia="el"/>
        </w:rPr>
        <w:t>Γ. ΕΣΩΤΕΡΙΚΗ ΔΙΑΝΟΜΗ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37"/>
        <w:gridCol w:w="8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Γραφείο Διοικητή Α.Α.Δ.Ε.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Αυτοτελές Τμήμα Υποστήριξης Γ.Δ.Τ. και Ε.Φ.Κ.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Δ/νση ΕΦΚ &amp; ΦΠΑ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Δ/νση Στρατηγικής Τελωνειακών Ελέγχων &amp; Παραβάσεων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Δ/νση Τελωνειακών Διαδικασιών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Δ/νση Δασμολογικών Θεμάτων Ειδικών Καθεστώτων &amp; Απαλλαγών</w:t>
            </w:r>
          </w:p>
        </w:tc>
      </w:tr>
    </w:tbl>
    <w:p>
      <w:pPr>
        <w:rPr>
          <w:lang w:val="el" w:eastAsia="el"/>
        </w:rPr>
      </w:pP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motoroil.refinery@moh.gr" TargetMode="External" /><Relationship Id="rId11" Type="http://schemas.openxmlformats.org/officeDocument/2006/relationships/hyperlink" Target="mailto:Info@moh.gr" TargetMode="External" /><Relationship Id="rId12" Type="http://schemas.openxmlformats.org/officeDocument/2006/relationships/hyperlink" Target="mailto:oete@oete.gr" TargetMode="External" /><Relationship Id="rId13" Type="http://schemas.openxmlformats.org/officeDocument/2006/relationships/hyperlink" Target="mailto:info@sepa.gr" TargetMode="External" /><Relationship Id="rId14" Type="http://schemas.openxmlformats.org/officeDocument/2006/relationships/hyperlink" Target="mailto:info@seth.gr" TargetMode="External" /><Relationship Id="rId15" Type="http://schemas.openxmlformats.org/officeDocument/2006/relationships/hyperlink" Target="mailto:keeuhcci@uhc.gr" TargetMode="External" /><Relationship Id="rId16" Type="http://schemas.openxmlformats.org/officeDocument/2006/relationships/hyperlink" Target="mailto:oee@oee.gr" TargetMode="External" /><Relationship Id="rId17" Type="http://schemas.openxmlformats.org/officeDocument/2006/relationships/hyperlink" Target="mailto:info@acci.gr" TargetMode="External" /><Relationship Id="rId18" Type="http://schemas.openxmlformats.org/officeDocument/2006/relationships/hyperlink" Target="mailto:root@ebeth.gr" TargetMode="External" /><Relationship Id="rId19" Type="http://schemas.openxmlformats.org/officeDocument/2006/relationships/hyperlink" Target="mailto:info@obe.gr" TargetMode="External" /><Relationship Id="rId2" Type="http://schemas.openxmlformats.org/officeDocument/2006/relationships/webSettings" Target="webSettings.xml" /><Relationship Id="rId20" Type="http://schemas.openxmlformats.org/officeDocument/2006/relationships/hyperlink" Target="mailto:popek@popek.gr" TargetMode="Externa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mailto:axs@aade.gr" TargetMode="External" /><Relationship Id="rId5" Type="http://schemas.openxmlformats.org/officeDocument/2006/relationships/hyperlink" Target="mailto:devxp.gcsl@aade.gr" TargetMode="External" /><Relationship Id="rId6" Type="http://schemas.openxmlformats.org/officeDocument/2006/relationships/hyperlink" Target="mailto:finexcis@aade.gr" TargetMode="External" /><Relationship Id="rId7" Type="http://schemas.openxmlformats.org/officeDocument/2006/relationships/hyperlink" Target="http://www.aade.gr/" TargetMode="External" /><Relationship Id="rId8" Type="http://schemas.openxmlformats.org/officeDocument/2006/relationships/hyperlink" Target="mailto:seepe@seepe.gr" TargetMode="External" /><Relationship Id="rId9" Type="http://schemas.openxmlformats.org/officeDocument/2006/relationships/hyperlink" Target="mailto:helpe@helpe.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