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&amp;</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YΠΟΥΡΓΕΙΟ ΠΕΡΙΒΑΛΛΟΝΤΟΣ &amp; ΕΝΕΡΓΕΙΑΣ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ΨΚΠΔ46ΜΠ3Ζ-ΗΕΜ</w:t>
      </w:r>
    </w:p>
    <w:p>
      <w:pPr>
        <w:pStyle w:val="Title"/>
        <w:spacing w:before="120" w:after="360"/>
        <w:rPr>
          <w:lang w:val="el" w:eastAsia="el"/>
        </w:rPr>
      </w:pPr>
      <w:r>
        <w:rPr>
          <w:b/>
          <w:bCs/>
          <w:lang w:val="el" w:eastAsia="el"/>
        </w:rPr>
        <w:t>Αριθ. ΦΕΚ: Β’ 5692/28-09-2023</w:t>
      </w:r>
    </w:p>
    <w:p>
      <w:pPr>
        <w:pStyle w:val="Title"/>
        <w:spacing w:before="120" w:after="360"/>
        <w:rPr>
          <w:lang w:val="el" w:eastAsia="el"/>
        </w:rPr>
      </w:pPr>
      <w:r>
        <w:rPr>
          <w:b/>
          <w:bCs/>
          <w:lang w:val="el" w:eastAsia="el"/>
        </w:rPr>
        <w:t>Αθήνα, 26/09/2023</w:t>
      </w:r>
    </w:p>
    <w:p>
      <w:pPr>
        <w:pStyle w:val="Title"/>
        <w:spacing w:before="120" w:after="360"/>
        <w:rPr>
          <w:lang w:val="el" w:eastAsia="el"/>
        </w:rPr>
      </w:pPr>
      <w:r>
        <w:rPr>
          <w:b/>
          <w:bCs/>
          <w:lang w:val="el" w:eastAsia="el"/>
        </w:rPr>
        <w:t>Αριθ. Πρωτ.: Α.1146</w:t>
      </w:r>
    </w:p>
    <w:p>
      <w:pPr>
        <w:pStyle w:val="Title"/>
        <w:spacing w:before="120" w:after="360"/>
        <w:rPr>
          <w:lang w:val="el" w:eastAsia="el"/>
        </w:rPr>
      </w:pPr>
      <w:r>
        <w:rPr>
          <w:b/>
          <w:bCs/>
          <w:lang w:val="el" w:eastAsia="el"/>
        </w:rPr>
        <w:t>ΑΑΔΕ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Α) ΓΕΝΙΚΗ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Πληροφορίες Τηλέφωνο Ε-mail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w:t>
      </w:r>
    </w:p>
    <w:p>
      <w:pPr>
        <w:spacing w:before="240" w:after="240"/>
        <w:rPr>
          <w:lang w:val="el" w:eastAsia="el"/>
        </w:rPr>
      </w:pPr>
      <w:r>
        <w:rPr>
          <w:b/>
          <w:bCs/>
          <w:lang w:val="el" w:eastAsia="el"/>
        </w:rPr>
        <w:t>Κ.Κοράκης, Α.Μουζακίτου</w:t>
      </w:r>
    </w:p>
    <w:p>
      <w:pPr>
        <w:spacing w:before="240" w:after="240"/>
        <w:rPr>
          <w:lang w:val="el" w:eastAsia="el"/>
        </w:rPr>
      </w:pPr>
      <w:r>
        <w:rPr>
          <w:b/>
          <w:bCs/>
          <w:lang w:val="el" w:eastAsia="el"/>
        </w:rPr>
        <w:t>2106987420-423</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Β) ΓΕΝΙΚΗ Δ/ΝΣΗ Γ.Χ.Κ.</w:t>
      </w:r>
    </w:p>
    <w:p>
      <w:pPr>
        <w:spacing w:before="240" w:after="240"/>
        <w:rPr>
          <w:lang w:val="el" w:eastAsia="el"/>
        </w:rPr>
      </w:pPr>
      <w:r>
        <w:rPr>
          <w:b/>
          <w:bCs/>
          <w:lang w:val="el" w:eastAsia="el"/>
        </w:rPr>
        <w:t>Δ/ΝΣΗ ΕΝΕΡΓΕΙΑΚΩΝ, ΒΙΟΜΗΧΑΝΙΚΩΝ</w:t>
      </w:r>
    </w:p>
    <w:p>
      <w:pPr>
        <w:spacing w:before="240" w:after="240"/>
        <w:rPr>
          <w:lang w:val="el" w:eastAsia="el"/>
        </w:rPr>
      </w:pPr>
      <w:r>
        <w:rPr>
          <w:b/>
          <w:bCs/>
          <w:lang w:val="el" w:eastAsia="el"/>
        </w:rPr>
        <w:t>&amp; ΧΗΜΙΚΩΝ ΠΡΟΪΟΝΤΩΝ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Ταχ. Δ/νση Ταχ. Κωδ.</w:t>
      </w:r>
    </w:p>
    <w:p>
      <w:pPr>
        <w:spacing w:before="240" w:after="240"/>
        <w:rPr>
          <w:lang w:val="el" w:eastAsia="el"/>
        </w:rPr>
      </w:pPr>
      <w:r>
        <w:rPr>
          <w:b/>
          <w:bCs/>
          <w:lang w:val="el" w:eastAsia="el"/>
        </w:rPr>
        <w:t>Πληροφορίες Τηλέφωνο</w:t>
      </w:r>
    </w:p>
    <w:p>
      <w:pPr>
        <w:spacing w:before="240" w:after="240"/>
        <w:rPr>
          <w:lang w:val="el" w:eastAsia="el"/>
        </w:rPr>
      </w:pPr>
      <w:r>
        <w:rPr>
          <w:b/>
          <w:bCs/>
          <w:lang w:val="el" w:eastAsia="el"/>
        </w:rPr>
        <w:t>Ε-mail</w:t>
      </w:r>
    </w:p>
    <w:p>
      <w:pPr>
        <w:spacing w:before="240" w:after="240"/>
        <w:rPr>
          <w:lang w:val="el" w:eastAsia="el"/>
        </w:rPr>
      </w:pPr>
      <w:r>
        <w:rPr>
          <w:b/>
          <w:bCs/>
          <w:lang w:val="el" w:eastAsia="el"/>
        </w:rPr>
        <w:t>Url</w:t>
      </w:r>
    </w:p>
    <w:p>
      <w:pPr>
        <w:spacing w:before="240" w:after="240"/>
        <w:rPr>
          <w:lang w:val="el" w:eastAsia="el"/>
        </w:rPr>
      </w:pPr>
      <w:r>
        <w:rPr>
          <w:b/>
          <w:bCs/>
          <w:lang w:val="el" w:eastAsia="el"/>
        </w:rPr>
        <w:t>Τσόχα 16, Αθήνα</w:t>
      </w:r>
    </w:p>
    <w:p>
      <w:pPr>
        <w:spacing w:before="240" w:after="240"/>
        <w:rPr>
          <w:lang w:val="el" w:eastAsia="el"/>
        </w:rPr>
      </w:pPr>
      <w:r>
        <w:rPr>
          <w:b/>
          <w:bCs/>
          <w:lang w:val="el" w:eastAsia="el"/>
        </w:rPr>
        <w:t>115 21</w:t>
      </w:r>
    </w:p>
    <w:p>
      <w:pPr>
        <w:spacing w:before="240" w:after="240"/>
        <w:rPr>
          <w:lang w:val="el" w:eastAsia="el"/>
        </w:rPr>
      </w:pPr>
      <w:r>
        <w:rPr>
          <w:b/>
          <w:bCs/>
          <w:lang w:val="el" w:eastAsia="el"/>
        </w:rPr>
        <w:t>Ν.Νομικός</w:t>
      </w:r>
    </w:p>
    <w:p>
      <w:pPr>
        <w:spacing w:before="240" w:after="240"/>
        <w:rPr>
          <w:lang w:val="el" w:eastAsia="el"/>
        </w:rPr>
      </w:pPr>
      <w:r>
        <w:rPr>
          <w:b/>
          <w:bCs/>
          <w:lang w:val="el" w:eastAsia="el"/>
        </w:rPr>
        <w:t>216479247</w:t>
      </w:r>
    </w:p>
    <w:p>
      <w:pPr>
        <w:spacing w:before="240" w:after="240"/>
        <w:rPr>
          <w:lang w:val="el" w:eastAsia="el"/>
        </w:rPr>
      </w:pPr>
      <w:hyperlink r:id="rId5" w:history="1">
        <w:r>
          <w:rPr>
            <w:rStyle w:val="Hyperlink"/>
            <w:b/>
            <w:bCs/>
            <w:color w:val="0000EE"/>
            <w:u w:color="0000EE"/>
            <w:lang w:val="el" w:eastAsia="el"/>
          </w:rPr>
          <w:t>devxp.gcsl@aade.gr</w:t>
        </w:r>
      </w:hyperlink>
    </w:p>
    <w:p>
      <w:pPr>
        <w:spacing w:before="240" w:after="240"/>
        <w:rPr>
          <w:lang w:val="el" w:eastAsia="el"/>
        </w:rPr>
      </w:pP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ΘΕΜΑ: “ Τροποποίηση: α) της υπ’ αρ. 30/004/000/539/04-03-2019 κοινής απόφασης των υπουργών Οικονομίας &amp; Ανάπτυξης, Οικονομικών, Περιβάλλοντος &amp; Ενέργειας και Υποδομών &amp; Μεταφορών (Β’ 803), β) της υπ’ αρ. 94/2021 κοινής απόφασης των υπουργών Οικονομικών, Ανάπτυξης &amp; Επενδύσεων, Περιβάλλοντος &amp; Ενέργειας και Ναυτιλίας &amp; Νησιωτικής Πολιτικής (Β’ 1339/2023) και γ) της υπ. αρ. 95/2021 κοινής απόφασης των υπουργών Οικονομικών, Ανάπτυξης &amp; Επενδύσεων και Περιβάλλοντος &amp; Ενέργειας (Β΄1136/2023).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O ΥΠΟΥΡΓΟΣ ΠΕΡΙΒΑΛΛΟΝΤΟΣ &amp; ΕΝΕΡΓΕΙΑΣ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 α) της παρ. 12 του άρθρου 15 του ν. 3054/2002 «Οργάνωση της αγοράς πετρελαιοειδών και άλλες διατάξεις» (Α΄230), όπως προστέθηκε με την παρ. 3(γ) του άρθρου 320 του ν. 4072/2012 (Α΄ 86) και αναριθμήθηκε και αντικαταστάθηκε με την παρ. 10 της υποπαρ. 1.3 του άρθρου πρώτου του ν. 4093/2012 (Α΄ 222) και αντικαταστάθηκε με το άρθρο 37 του ν. 4409/2016 (Α΄ 136) και το άρθρο 11 του ν.4758/2020 (Α’ 242), β) των άρθρων 33, 55, 63, 64 και 119Α του Εθνικού Τελωνειακού Κώδικα (ν. 2960/2001, α’ 265), γ) του τέταρτου εδαφίου της παρ. 8 του άρθρου 6 του ν.4328/1929 «Περί συστάσεως Γενικού Χημείου του Κράτους» (Α΄ 272), όπως αντικαταστάθηκε με την παρ. 6 του άρθρου 11 του ν. 2343/1995 (Α΄ 211), δ) του άρθρου 4 του β.δ. της 31ης Οκτωβρίου 1929 «Περί κανονισμού της λειτουργίας και των εργασιών του Συμβουλίου της Χημικής Υπηρεσίας» (Α΄ 391</w:t>
      </w:r>
      <w:r>
        <w:rPr>
          <w:b/>
          <w:bCs/>
          <w:i/>
          <w:iCs/>
          <w:lang w:val="el" w:eastAsia="el"/>
        </w:rPr>
        <w:t>)</w:t>
      </w:r>
      <w:r>
        <w:rPr>
          <w:b/>
          <w:bCs/>
          <w:lang w:val="el" w:eastAsia="el"/>
        </w:rPr>
        <w:t>, ε)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 στ) του π.δ. 79/2023 «Διορισμός Υπουργών, Αναπληρωτών Υπουργών και Υφυπουργών» (Α΄ 131), ζ) των άρθρων 89 και 122 του π. δ. 284/1988 «Οργανισμός του Υπουργείου Οικονομικών» (Α΄ 128), σε συνδυασμό με το τρίτο εδάφιο της παρ. 7 του άρθρου 41 του ν. 4389/2016 (A’ 94), και την υπ’ αρ. 1078204/927/0006Α/6-8-1992 κοινή απόφαση των Υπουργών Προεδρίας και Οικονομικών «Περιορισμός Συλλογικών Οργάνων του Υπουργείου Οικονομικών» (Β΄ 517). η)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(Α΄133), θ) του π.δ. 142/2017 «Οργανισμός Υπουργείου Οικονομικών» (Α’ 181), ι) του π.δ. 132/2017 «Οργανισμός Υπουργείου Περιβάλλοντος και Ενέργειας (Υ.Π.Ε.Ν.)» (Α’160), ια) του π.δ. 79/2023 «Διορισμός Υπουργών, Αναπληρωτών Υπουργών και Υφυπουργών» (Α΄ 131), ιβ)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2.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3. </w:t>
      </w:r>
      <w:r>
        <w:rPr>
          <w:b/>
          <w:bCs/>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xml:space="preserve">4. </w:t>
      </w:r>
      <w:r>
        <w:rPr>
          <w:b/>
          <w:bCs/>
          <w:lang w:val="el" w:eastAsia="el"/>
        </w:rPr>
        <w:t>Την υπό στοιχεία 74104/5570 απόφαση του Πρωθυπουργού και του Υπουργού Περιβάλλοντος και Ενέργειας με θέμα «Ανάθεση αρμοδιοτήτων στην Υφυπουργό Περιβάλλοντος και Ενέργειας Αλεξάνδρα Σδούκου» (Β’ 4408)</w:t>
      </w:r>
    </w:p>
    <w:p>
      <w:pPr>
        <w:spacing w:before="240" w:after="240"/>
        <w:rPr>
          <w:lang w:val="el" w:eastAsia="el"/>
        </w:rPr>
      </w:pPr>
      <w:r>
        <w:rPr>
          <w:lang w:val="el" w:eastAsia="el"/>
        </w:rPr>
        <w:t xml:space="preserve">5. </w:t>
      </w:r>
      <w:r>
        <w:rPr>
          <w:b/>
          <w:bCs/>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Τις υπό στοιχεία Δ.ΟΡΓ.Β 1064363ΕΞ2022/18-7-2022 (Υ.Ο.Δ.Δ. 648) και Δ.ΟΡΓ.Β 1010862ΕΞ2023/24-1-2023 (Υ.Ο.Δ.Δ. 69) αποφάσεις του Διοικητή της Ανεξάρτητης Αρχής Δημοσίων Εσόδων, με θέμα «Ορισμός μελών του Ανώτατου Χημικού Συμβουλίου (Α.Χ.Σ.)».</w:t>
      </w:r>
    </w:p>
    <w:p>
      <w:pPr>
        <w:spacing w:before="240" w:after="240"/>
        <w:rPr>
          <w:lang w:val="el" w:eastAsia="el"/>
        </w:rPr>
      </w:pPr>
      <w:r>
        <w:rPr>
          <w:lang w:val="el" w:eastAsia="el"/>
        </w:rPr>
        <w:t xml:space="preserve">8. </w:t>
      </w:r>
      <w:r>
        <w:rPr>
          <w:b/>
          <w:bCs/>
          <w:lang w:val="el" w:eastAsia="el"/>
        </w:rPr>
        <w:t>Την υπ’ αρ. 30/004/000/539/04-03-2019 κοινή απόφαση των υπουργών Οικονομίας &amp; Ανάπτυξης, Οικονομικών, Περιβάλλοντος &amp; Ενέργειας, Υποδομών &amp; Μεταφορών «Διαδικασίες και προδιαγραφές ιχνηθέτησης υγρών καυσίμων που διατίθενται στην κατανάλωση ή διακινούνται ή αποθηκεύονται εντός της ελληνικής Επικράτειας με ιχνηθέτες μοριακής τεχνολογίας. Διαδικασία δειγματοληψίας και ελέγχου των ιχνηθετημένων καυσίμων και απαιτήσεις τεχνολογικού εξοπλισμού ελέγχου.» (Β’ 803).</w:t>
      </w:r>
    </w:p>
    <w:p>
      <w:pPr>
        <w:spacing w:before="240" w:after="240"/>
        <w:rPr>
          <w:lang w:val="el" w:eastAsia="el"/>
        </w:rPr>
      </w:pPr>
      <w:r>
        <w:rPr>
          <w:lang w:val="el" w:eastAsia="el"/>
        </w:rPr>
        <w:t xml:space="preserve">9. </w:t>
      </w:r>
      <w:r>
        <w:rPr>
          <w:b/>
          <w:bCs/>
          <w:lang w:val="el" w:eastAsia="el"/>
        </w:rPr>
        <w:t>Την ανάγκη τροποποίησης του άρθρου 4 της υπ’ αρ. 30/004/000/539/04-03-2019 κοινής απόφασης των υπουργών Οικονομίας &amp; Ανάπτυξης, Οικονομικών, Περιβάλλοντος &amp; Ενέργειας και Υποδομών &amp; Μεταφορών αναφορικά με τη διαδικασία και τις μεθόδους ιχνηθέτησης του πετρελαίου θέρμανσης και του πετρελαίου εσωτερικής καύσης πλοίων και ντίζελ πλοίων με τους εθνικούς ιχνηθέτες μοριακής τεχνολογίας προκειμένου να καλυφθούν οι λειτουργικές ανάγκες των διυλιστηρίων και των εταιρειών εμπορίας πετρελαιοειδών.</w:t>
      </w:r>
    </w:p>
    <w:p>
      <w:pPr>
        <w:spacing w:before="240" w:after="240"/>
        <w:rPr>
          <w:lang w:val="el" w:eastAsia="el"/>
        </w:rPr>
      </w:pPr>
      <w:r>
        <w:rPr>
          <w:lang w:val="el" w:eastAsia="el"/>
        </w:rPr>
        <w:t xml:space="preserve">10. </w:t>
      </w:r>
      <w:r>
        <w:rPr>
          <w:b/>
          <w:bCs/>
          <w:lang w:val="el" w:eastAsia="el"/>
        </w:rPr>
        <w:t>Την υπ’ αρ. 94/2021 κοινή απόφαση των υπουργών Οικονομικών, Ανάπτυξης &amp; Επενδύσεων, Περιβάλλοντος &amp; Ενέργειας, Ναυτιλίας &amp; Νησιωτικής Πολιτικής «Φορολογική σήμανση πετρελαίου εσωτερικής καύσης πλοίων και ντίζελ πλοίων με εθνικό ιχνηθέτη μοριακής τεχνολογίας, μέθοδοι δοκιμής για τον προσδιορισμό του και σχετικές τεχνικές απαιτήσεις» (Β΄1339/2023 ).</w:t>
      </w:r>
    </w:p>
    <w:p>
      <w:pPr>
        <w:spacing w:before="240" w:after="240"/>
        <w:rPr>
          <w:lang w:val="el" w:eastAsia="el"/>
        </w:rPr>
      </w:pPr>
      <w:r>
        <w:rPr>
          <w:lang w:val="el" w:eastAsia="el"/>
        </w:rPr>
        <w:t xml:space="preserve">11. </w:t>
      </w:r>
      <w:r>
        <w:rPr>
          <w:b/>
          <w:bCs/>
          <w:lang w:val="el" w:eastAsia="el"/>
        </w:rPr>
        <w:t>Την υπ’ αρ. 95/2021 κοινή απόφαση των υπουργών Οικονομικών, Ανάπτυξης &amp; Επενδύσεων και Περιβάλλοντος &amp; Ενέργειας «Φορολογική σήμανση πετρελαίου θέρμανσης με εθνικό ιχνηθέτη μοριακής τεχνολογίας, μέθοδοι δοκιμής για τον προσδιορισμό του και σχετικές τεχνικές απαιτήσεις.» (Β΄1136/2023 ).</w:t>
      </w:r>
    </w:p>
    <w:p>
      <w:pPr>
        <w:spacing w:before="240" w:after="240"/>
        <w:rPr>
          <w:lang w:val="el" w:eastAsia="el"/>
        </w:rPr>
      </w:pPr>
      <w:r>
        <w:rPr>
          <w:lang w:val="el" w:eastAsia="el"/>
        </w:rPr>
        <w:t xml:space="preserve">12. </w:t>
      </w:r>
      <w:r>
        <w:rPr>
          <w:b/>
          <w:bCs/>
          <w:lang w:val="el" w:eastAsia="el"/>
        </w:rPr>
        <w:t>Την ανάγκη προσθήκης μεταβατικής διάταξης α) στην υπ’ αρ. 94/2021 κοινή απόφαση των υπουργών Οικονομικών, Ανάπτυξης &amp; Επενδύσεων, Περιβάλλοντος &amp; Ενέργειας, Ναυτιλίας &amp; Νησιωτικής Πολιτικής» προκειμένου να προβλεφθεί μεταβατική περίοδος για τη διάθεση των αποθεμάτων πετρελαίου εσωτερικής καύσης πλοίων και ντίζελ πλοίων τα οποία κατά την ημερομηνία έναρξης ισχύος της παρούσας περιέχουν τον φορολογικό ιχνηθέτη κινιζαρίνη και β) στην υπ’ αρ. 95/2021 κοινή απόφαση των υπουργών Οικονομικών, Ανάπτυξης &amp; Επενδύσεων και Περιβάλλοντος &amp; Ενέργειας, προκειμένου να προβλεφθεί μεταβατική περίοδος για τη διάθεση των αποθεμάτων πετρελαίου θέρμανσης τα οποία κατά την ημερομηνία έναρξης ισχύος της παρούσας δεν περιέχουν τον εθνικό ιχνηθέτη μοριακής τεχνολογίας .</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της υπ’ αρ. 30/004/000/539/04-03-2019 κοινής απόφασης των υπουργών, Οικονομίας &amp; Ανάπτυξης, Οικονομικών, Περιβάλλοντος &amp; Ενέργειας και Υποδομών &amp; Μεταφορών «Διαδικασίες και προδιαγραφές ιχνηθέτησης υγρών καυσίμων που διατίθενται στην κατανάλωση ή διακινούνται ή αποθηκεύονται εντός της ελληνικής Επικράτειας με ιχνηθέτες μοριακής τεχνολογίας. Διαδικασία δειγματοληψίας και ελέγχου των ιχνηθετημένων καυσίμων και απαιτήσεις τεχνολογικού εξοπλισμού ελέγχου.» (Β’ 803).</w:t>
      </w:r>
    </w:p>
    <w:p>
      <w:pPr>
        <w:spacing w:before="240" w:after="240"/>
        <w:rPr>
          <w:lang w:val="el" w:eastAsia="el"/>
        </w:rPr>
      </w:pPr>
      <w:r>
        <w:rPr>
          <w:b/>
          <w:bCs/>
          <w:lang w:val="el" w:eastAsia="el"/>
        </w:rPr>
        <w:t>Το Άρθρο 4 της υπ’ αρ. 30/004/000/539/04-03-2019 κοινής απόφασης των υπουργών Οικονομίας &amp; Ανάπτυξης, Οικονομικών, Περιβάλλοντος &amp; Ενέργειας και Υποδομών &amp; Μεταφορών (Β΄803), αντικαθίσταται ως ακολούθως:</w:t>
      </w:r>
    </w:p>
    <w:p>
      <w:pPr>
        <w:spacing w:before="240" w:after="240"/>
        <w:rPr>
          <w:lang w:val="el" w:eastAsia="el"/>
        </w:rPr>
      </w:pPr>
      <w:r>
        <w:rPr>
          <w:b/>
          <w:bCs/>
          <w:lang w:val="el" w:eastAsia="el"/>
        </w:rPr>
        <w:t xml:space="preserve">« Άρθρο </w:t>
      </w:r>
    </w:p>
    <w:p>
      <w:pPr>
        <w:spacing w:before="240" w:after="240"/>
        <w:rPr>
          <w:lang w:val="el" w:eastAsia="el"/>
        </w:rPr>
      </w:pPr>
      <w:r>
        <w:rPr>
          <w:b/>
          <w:bCs/>
          <w:lang w:val="el" w:eastAsia="el"/>
        </w:rPr>
        <w:t>4Διαδικασία ιχνηθέτησης</w:t>
      </w:r>
    </w:p>
    <w:p>
      <w:pPr>
        <w:spacing w:before="240" w:after="240"/>
        <w:rPr>
          <w:lang w:val="el" w:eastAsia="el"/>
        </w:rPr>
      </w:pPr>
      <w:r>
        <w:rPr>
          <w:lang w:val="el" w:eastAsia="el"/>
        </w:rPr>
        <w:t xml:space="preserve">1. </w:t>
      </w:r>
      <w:r>
        <w:rPr>
          <w:b/>
          <w:bCs/>
          <w:lang w:val="el" w:eastAsia="el"/>
        </w:rPr>
        <w:t>Η ιχνηθέτηση των υγρών καυσίμων της παρ. 1 του άρθρου 3 πραγματοποιείται στις εγκαταστάσεις των προμηθευτών υγρών καυσίμων, όπως ορίζονται στο άρθρο 2 της παρούσας, πριν ή κατά την φυσική έξοδο αυτών από τις εν λόγω εγκαταστάσεις.</w:t>
      </w:r>
    </w:p>
    <w:p>
      <w:pPr>
        <w:spacing w:before="240" w:after="240"/>
        <w:rPr>
          <w:lang w:val="el" w:eastAsia="el"/>
        </w:rPr>
      </w:pPr>
      <w:r>
        <w:rPr>
          <w:lang w:val="el" w:eastAsia="el"/>
        </w:rPr>
        <w:t xml:space="preserve">2. </w:t>
      </w:r>
      <w:r>
        <w:rPr>
          <w:b/>
          <w:bCs/>
          <w:lang w:val="el" w:eastAsia="el"/>
        </w:rPr>
        <w:t>Η ορθότητα της ιχνηθέτησης των υγρών καυσίμων της παρ. 1 του άρθρου 3 αποτελεί ευθύνη του εκάστοτε προμηθευτή υγρών καυσίμων. Το εύρος της προβλεπόμενης συγκέντρωσης των εθνικών ιχνηθετών μοριακής τεχνολογίας που προστίθενται στο πετρέλαιο θέρμανσης και στο πετρέλαιο εσωτερικής καύσης πλοίων και στο ντίζελ πλοίων, καθορίζεται στο άρθρο 2 της υπ. αρ. 95/2021 απόφασης ΑΧΣ (Β΄1136/2023) και στο άρθρο 2 της υπ. αρ. 94/2021 απόφασης ΑΧΣ (Β΄1139/2023), αντίστοιχα.</w:t>
      </w:r>
    </w:p>
    <w:p>
      <w:pPr>
        <w:spacing w:before="240" w:after="240"/>
        <w:rPr>
          <w:lang w:val="el" w:eastAsia="el"/>
        </w:rPr>
      </w:pPr>
      <w:r>
        <w:rPr>
          <w:lang w:val="el" w:eastAsia="el"/>
        </w:rPr>
        <w:t xml:space="preserve">3. </w:t>
      </w:r>
      <w:r>
        <w:rPr>
          <w:b/>
          <w:bCs/>
          <w:lang w:val="el" w:eastAsia="el"/>
        </w:rPr>
        <w:t>Η τελωνειακή αρχή στη χωρική αρμοδιότητα της οποίας εμπίπτει η παρακολούθηση και ο έλεγχος της εγκατάστασης του προμηθευτή υγρών καυσίμων, δύναται πριν ή και κατά την φυσική έξοδο των υγρών καυσίμων της παρ. 1 του άρθρου 3 από τις εγκαταστάσεις των προμηθευτών υγρών καυσίμων, να λαμβάνει δείγματα, παρουσία χημικού της Γενικής Διεύθυνσης του Γενικού Χημείου του Κράτους εφόσον τούτο είναι εφικτό, και να τα αποστέλλει για εξέταση στις αρμόδιες υπηρεσίες του Γ.Χ.Κ. για την διαπίστωση της τήρησης των όρων της ορθής ιχνηθέτησης, σύμφωνα με τα οριζόμενα στις υπ’ αρ. 94/2021 και 95/2021 αποφάσεις ΑΧΣ.</w:t>
      </w:r>
    </w:p>
    <w:p>
      <w:pPr>
        <w:spacing w:before="240" w:after="240"/>
        <w:rPr>
          <w:lang w:val="el" w:eastAsia="el"/>
        </w:rPr>
      </w:pPr>
      <w:r>
        <w:rPr>
          <w:lang w:val="el" w:eastAsia="el"/>
        </w:rPr>
        <w:t xml:space="preserve">4. </w:t>
      </w:r>
      <w:r>
        <w:rPr>
          <w:b/>
          <w:bCs/>
          <w:lang w:val="el" w:eastAsia="el"/>
        </w:rPr>
        <w:t>Οι εθνικοί ιχνηθέτες μοριακής τεχνολογίας που προστίθενται στο πετρέλαιο θέρμανσης και στο πετρέλαιο εσωτερικής καύσης πλοίων και στο ντίζελ πλοίων προσδιορίζονται ποσοτικά στα εργαστήρια σύμφωνα με τις μεθόδους που προβλέπονται στο άρθρο 3 της υπ. αρ. 95/2021 απόφασης ΑΧΣ και στο άρθρο 3 της υπ. αρ. 94/2021 απόφασης ΑΧΣ, αντίστοιχα. Δεν επιτρέπεται η ιχνηθέτηση με εθνικό ιχνηθέτη μοριακής τεχνολογίας των παραπάνω καυσίμων, εφόσον αυτά προορίζονται προς εξαγωγή η ενδοκοινοτική παράδοση σε άλλα κ-μ της ΕΕ.</w:t>
      </w:r>
    </w:p>
    <w:p>
      <w:pPr>
        <w:spacing w:before="240" w:after="240"/>
        <w:rPr>
          <w:lang w:val="el" w:eastAsia="el"/>
        </w:rPr>
      </w:pPr>
      <w:r>
        <w:rPr>
          <w:lang w:val="el" w:eastAsia="el"/>
        </w:rPr>
        <w:t xml:space="preserve">5. </w:t>
      </w:r>
      <w:r>
        <w:rPr>
          <w:b/>
          <w:bCs/>
          <w:lang w:val="el" w:eastAsia="el"/>
        </w:rPr>
        <w:t>Οι εθνικοί ιχνηθέτες μοριακής τεχνολογίας αποθηκεύονται σε δεξαμενές ή σε δοχεία με σχετική σήμανση και διατηρούνται χωριστά από τις άλλες ουσίες, εντός των χώρων των προμηθευτών υγρών καυσίμων. Οι προμηθευτές υγρών καυσίμων οφείλουν να λαμβάνουν τα απαραίτητα μέτρα ώστε να μην επιμολύνονται τα μη ιχνηθετημένα καύσιμα με αυτά που έχουν ιχνηθετηθεί.</w:t>
      </w:r>
    </w:p>
    <w:p>
      <w:pPr>
        <w:spacing w:before="240" w:after="240"/>
        <w:rPr>
          <w:lang w:val="el" w:eastAsia="el"/>
        </w:rPr>
      </w:pPr>
      <w:r>
        <w:rPr>
          <w:lang w:val="el" w:eastAsia="el"/>
        </w:rPr>
        <w:t xml:space="preserve">6. </w:t>
      </w:r>
      <w:r>
        <w:rPr>
          <w:b/>
          <w:bCs/>
          <w:lang w:val="el" w:eastAsia="el"/>
        </w:rPr>
        <w:t>Γίνονται δεκτές οι ακόλουθες μέθοδοι ιχνηθέτησης: α) Ιχνηθέτηση σε δεξαμενές αποθήκευσης των εγκαταστάσεων προμηθευτών υγρών καυσίμων, είτε με αυτόματο ή ημιαυτόματο εξοπλισμό είτε χειροκίνητα όταν υπάρχει βλάβη του αυτόματου ή ημιαυτόματου εξοπλισμού, ή οι λειτουργικές συνθήκες της εγκατάστασης αποθήκευσης το επιβάλουν.</w:t>
      </w:r>
    </w:p>
    <w:p>
      <w:pPr>
        <w:spacing w:before="240" w:after="240"/>
        <w:rPr>
          <w:lang w:val="el" w:eastAsia="el"/>
        </w:rPr>
      </w:pPr>
      <w:r>
        <w:rPr>
          <w:b/>
          <w:bCs/>
          <w:lang w:val="el" w:eastAsia="el"/>
        </w:rPr>
        <w:t>β) Ιχνηθέτηση με εγχυτήρα κατά την παράδοση /διακίνηση, μέσω αγωγού, υγρών καυσίμων της παρ. 1 του άρθρου 3, από τις εγκαταστάσεις των διυλιστηρίων:</w:t>
      </w:r>
    </w:p>
    <w:p>
      <w:pPr>
        <w:spacing w:before="240" w:after="240"/>
        <w:rPr>
          <w:lang w:val="el" w:eastAsia="el"/>
        </w:rPr>
      </w:pPr>
      <w:r>
        <w:rPr>
          <w:lang w:val="el" w:eastAsia="el"/>
        </w:rPr>
        <w:t xml:space="preserve">i. </w:t>
      </w:r>
      <w:r>
        <w:rPr>
          <w:b/>
          <w:bCs/>
          <w:lang w:val="el" w:eastAsia="el"/>
        </w:rPr>
        <w:t>σε πλωτά εφοδιαστικά-μεταφορικά μέσα ναυτιλιακού καυσίμου (σλέπια) ή πλωτά μεταφορικά μέσα διακίνησης υγρών καυσίμων</w:t>
      </w:r>
    </w:p>
    <w:p>
      <w:pPr>
        <w:spacing w:before="240" w:after="240"/>
        <w:rPr>
          <w:lang w:val="el" w:eastAsia="el"/>
        </w:rPr>
      </w:pPr>
      <w:r>
        <w:rPr>
          <w:lang w:val="el" w:eastAsia="el"/>
        </w:rPr>
        <w:t xml:space="preserve">ii. </w:t>
      </w:r>
      <w:r>
        <w:rPr>
          <w:b/>
          <w:bCs/>
          <w:lang w:val="el" w:eastAsia="el"/>
        </w:rPr>
        <w:t>στις εγκαταστάσεις εταιρειών εμπορίας υγρών καυσίμων.</w:t>
      </w:r>
    </w:p>
    <w:p>
      <w:pPr>
        <w:spacing w:before="240" w:after="240"/>
        <w:rPr>
          <w:lang w:val="el" w:eastAsia="el"/>
        </w:rPr>
      </w:pPr>
      <w:r>
        <w:rPr>
          <w:b/>
          <w:bCs/>
          <w:lang w:val="el" w:eastAsia="el"/>
        </w:rPr>
        <w:t>γ) Ιχνηθέτηση με ψεκασμό στα σημεία φόρτωσης των βυτιοφόρων στις εγκαταστάσεις των προμηθευτών υγρών καυσίμων.</w:t>
      </w:r>
    </w:p>
    <w:p>
      <w:pPr>
        <w:spacing w:before="240" w:after="240"/>
        <w:rPr>
          <w:lang w:val="el" w:eastAsia="el"/>
        </w:rPr>
      </w:pPr>
      <w:r>
        <w:rPr>
          <w:lang w:val="el" w:eastAsia="el"/>
        </w:rPr>
        <w:t xml:space="preserve">7. </w:t>
      </w:r>
      <w:r>
        <w:rPr>
          <w:b/>
          <w:bCs/>
          <w:lang w:val="el" w:eastAsia="el"/>
        </w:rPr>
        <w:t>Για κάθε επιλεγόμενη μέθοδο ιχνηθέτησης που προβλέπεται στην παρ. 6, οι προμηθευτές υγρών καυσίμων διασφαλίζουν ότι τα καύσιμα της παρ. 1 του άρθρου 3, είναι ομοιογενώς ιχνηθετημένα σε όλη τη μάζα τους με την κατάλληλη συγκέντρωση του ιχνηθέτη. Για το σκοπό αυτό, με κατάλληλες δοκιμές, προσδιορίζεται και λαμβάνεται υπόψη κατά τις μετρήσεις της συγκέντρωσης των ιχνηθετών στα καύσιμα η συνδυασμένη αβεβαιότητα που περιλαμβάνει τις αβεβαιότητες που σχετίζονται με την καθαρότητα των χρησιμοποιούμενων ιχνηθετών, την διαδικασία ιχνηθέτησης και τις μεθόδους προσδιορισμού των ιχνηθετών.»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της υπ’ αρ. 94/2021 κοινής απόφασης των υπουργών Οικονομικών, Ανάπτυξης &amp; Επενδύσεων, Περιβάλλοντος &amp; Ενέργειας και Ναυτιλίας &amp; Νησιωτικής Πολιτικής «Φορολογική σήμανση πετρελαίου εσωτερικής καύσης πλοίων και ντίζελ πλοίων με εθνικό ιχνηθέτη μοριακής τεχνολογίας, μέθοδοι δοκιμής για τον προσδιορισμό του και σχετικές τεχνικές απαιτήσεις»</w:t>
      </w:r>
    </w:p>
    <w:p>
      <w:pPr>
        <w:spacing w:before="240" w:after="240"/>
        <w:rPr>
          <w:lang w:val="el" w:eastAsia="el"/>
        </w:rPr>
      </w:pPr>
      <w:r>
        <w:rPr>
          <w:b/>
          <w:bCs/>
          <w:lang w:val="el" w:eastAsia="el"/>
        </w:rPr>
        <w:t>(Β’ 1339/2023 ).</w:t>
      </w:r>
    </w:p>
    <w:p>
      <w:pPr>
        <w:spacing w:before="240" w:after="240"/>
        <w:rPr>
          <w:lang w:val="el" w:eastAsia="el"/>
        </w:rPr>
      </w:pPr>
      <w:r>
        <w:rPr>
          <w:b/>
          <w:bCs/>
          <w:lang w:val="el" w:eastAsia="el"/>
        </w:rPr>
        <w:t>Στην υπ’ αρ. 94/2021 κοινή απόφαση των υπουργών Οικονομικών, Ανάπτυξης &amp; Επενδύσεων, Περιβάλλοντος &amp; Ενέργειας και Ναυτιλίας &amp; Νησιωτικής Πολιτικής (Β΄1339/2023) προστίθεται άρθρο 1Α ως εξής :</w:t>
      </w:r>
    </w:p>
    <w:p>
      <w:pPr>
        <w:spacing w:before="240" w:after="240"/>
        <w:rPr>
          <w:lang w:val="el" w:eastAsia="el"/>
        </w:rPr>
      </w:pPr>
      <w:r>
        <w:rPr>
          <w:b/>
          <w:bCs/>
          <w:lang w:val="el" w:eastAsia="el"/>
        </w:rPr>
        <w:t>«Άρθρο 1ΑΔιαχείριση αποθεμάτων</w:t>
      </w:r>
    </w:p>
    <w:p>
      <w:pPr>
        <w:spacing w:before="240" w:after="240"/>
        <w:rPr>
          <w:lang w:val="el" w:eastAsia="el"/>
        </w:rPr>
      </w:pPr>
      <w:r>
        <w:rPr>
          <w:lang w:val="el" w:eastAsia="el"/>
        </w:rPr>
        <w:t xml:space="preserve">1. </w:t>
      </w:r>
      <w:r>
        <w:rPr>
          <w:b/>
          <w:bCs/>
          <w:lang w:val="el" w:eastAsia="el"/>
        </w:rPr>
        <w:t>Επιτρέπεται η διάθεση στην κατανάλωση αποθεμάτων πετρελαίου εσωτερικής καύσης πλοίων και ντίζελ πλοίων τα οποία κατά την ημερομηνία έναρξης ισχύος της παρούσας έχουν φορολογική σήμανση την κινιζαρίνη και τελούν υπό καθεστώς αναστολής του ειδικού φόρου κατανάλωσης σε φορολογικές αποθήκες ή αποθήκες τελωνειακής αποταμίευσης, μέχρι εξάντλησης τους και όχι πέραν της 31.12.2023.</w:t>
      </w:r>
    </w:p>
    <w:p>
      <w:pPr>
        <w:spacing w:before="240" w:after="240"/>
        <w:rPr>
          <w:lang w:val="el" w:eastAsia="el"/>
        </w:rPr>
      </w:pPr>
      <w:r>
        <w:rPr>
          <w:lang w:val="el" w:eastAsia="el"/>
        </w:rPr>
        <w:t xml:space="preserve">2. </w:t>
      </w:r>
      <w:r>
        <w:rPr>
          <w:b/>
          <w:bCs/>
          <w:lang w:val="el" w:eastAsia="el"/>
        </w:rPr>
        <w:t>Η διάθεση των αποθεμάτων πετρελαίου εσωτερικής καύσης πλοίων και ντίζελ πλοίων δύναται να πραγματοποιείται, έως 31.12.2023, είτε αυτά περιέχουν μόνο τον φορολογικό ιχνηθέτη κινιζαρίνη, είτε τον φορολογικό ιχνηθέτη κινιζαρίνη ταυτόχρονα με τον εθνικό φορολογικό ιχνηθέτη μοριακής τεχνολογίας του άρθρου 1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της υπ’ αρ. 95/2021 κοινής απόφασης των υπουργών Οικονομικών, Ανάπτυξης &amp; Επενδύσεων, Περιβάλλοντος &amp; Ενέργειας «Φορολογική σήμανση πετρελαίου θέρμανσης με εθνικό ιχνηθέτη μοριακής τεχνολογίας, μέθοδοι δοκιμής για τον προσδιορισμό του και σχετικές τεχνικές απαιτήσεις.» (1136 B’/2023).</w:t>
      </w:r>
    </w:p>
    <w:p>
      <w:pPr>
        <w:spacing w:before="240" w:after="240"/>
        <w:rPr>
          <w:lang w:val="el" w:eastAsia="el"/>
        </w:rPr>
      </w:pPr>
      <w:r>
        <w:rPr>
          <w:b/>
          <w:bCs/>
          <w:lang w:val="el" w:eastAsia="el"/>
        </w:rPr>
        <w:t>Στην υπ’ αρ. 95/2021 κοινή απόφαση των υπουργών Οικονομικών, Ανάπτυξης &amp; Επενδύσεων και Περιβάλλοντος &amp; Ενέργειας προστίθεται άρθρο 1Α, ως εξής:</w:t>
      </w:r>
    </w:p>
    <w:p>
      <w:pPr>
        <w:spacing w:before="240" w:after="240"/>
        <w:rPr>
          <w:lang w:val="el" w:eastAsia="el"/>
        </w:rPr>
      </w:pPr>
      <w:r>
        <w:rPr>
          <w:b/>
          <w:bCs/>
          <w:lang w:val="el" w:eastAsia="el"/>
        </w:rPr>
        <w:t>«Άρθρο 1Α</w:t>
      </w:r>
    </w:p>
    <w:p>
      <w:pPr>
        <w:spacing w:before="240" w:after="240"/>
        <w:rPr>
          <w:lang w:val="el" w:eastAsia="el"/>
        </w:rPr>
      </w:pPr>
      <w:r>
        <w:rPr>
          <w:b/>
          <w:bCs/>
          <w:lang w:val="el" w:eastAsia="el"/>
        </w:rPr>
        <w:t>Διαχείριση αποθεμάτων</w:t>
      </w:r>
    </w:p>
    <w:p>
      <w:pPr>
        <w:spacing w:before="240" w:after="240"/>
        <w:rPr>
          <w:lang w:val="el" w:eastAsia="el"/>
        </w:rPr>
      </w:pPr>
      <w:r>
        <w:rPr>
          <w:b/>
          <w:bCs/>
          <w:lang w:val="el" w:eastAsia="el"/>
        </w:rPr>
        <w:t>Επιτρέπεται η διάθεση στην κατανάλωση αποθεμάτων πετρελαίου θέρμανσης χωρίς φορολογική σήμανση με εθνικό ιχνηθέτη μοριακής τεχνολογίας σύμφωνα με τα οριζόμενα στο άρθρο 1 της παρούσας, από 13.10.2023 μέχρι και εξάντλησής τους και όχι πέραν της 31.12.2023, τα οποία:</w:t>
      </w:r>
    </w:p>
    <w:p>
      <w:pPr>
        <w:spacing w:before="240" w:after="240"/>
        <w:rPr>
          <w:lang w:val="el" w:eastAsia="el"/>
        </w:rPr>
      </w:pPr>
      <w:r>
        <w:rPr>
          <w:b/>
          <w:bCs/>
          <w:lang w:val="el" w:eastAsia="el"/>
        </w:rPr>
        <w:t>α) είτε έχουν τεθεί σε ανάλωση και έχει πραγματοποιηθεί η φυσική τους έξοδος από τις φορολογικές αποθήκες έως και τις 02/05/2023,</w:t>
      </w:r>
    </w:p>
    <w:p>
      <w:pPr>
        <w:spacing w:before="240" w:after="240"/>
        <w:rPr>
          <w:lang w:val="el" w:eastAsia="el"/>
        </w:rPr>
      </w:pPr>
      <w:r>
        <w:rPr>
          <w:b/>
          <w:bCs/>
          <w:lang w:val="el" w:eastAsia="el"/>
        </w:rPr>
        <w:t>β) είτε κατά την ημερομηνία έναρξης ισχύος της παρούσης τελούν υπό καθεστώς αναστολής του ειδικού φόρου κατανάλωσης σε φορολογικές αποθήκες ή αποθήκες τελωνειακής αποταμίευσης.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4Έναρξη ισχύος</w:t>
      </w:r>
    </w:p>
    <w:p>
      <w:pPr>
        <w:spacing w:before="240" w:after="240"/>
        <w:rPr>
          <w:lang w:val="el" w:eastAsia="el"/>
        </w:rPr>
      </w:pPr>
      <w:r>
        <w:rPr>
          <w:lang w:val="el" w:eastAsia="el"/>
        </w:rPr>
        <w:t xml:space="preserve">1) </w:t>
      </w:r>
      <w:r>
        <w:rPr>
          <w:b/>
          <w:bCs/>
          <w:lang w:val="el" w:eastAsia="el"/>
        </w:rPr>
        <w:t>Η ισχύς της παρούσας αρχίζει από 02/10/2023.</w:t>
      </w:r>
    </w:p>
    <w:p>
      <w:pPr>
        <w:spacing w:before="240" w:after="240"/>
        <w:rPr>
          <w:lang w:val="el" w:eastAsia="el"/>
        </w:rPr>
      </w:pPr>
      <w:r>
        <w:rPr>
          <w:lang w:val="el" w:eastAsia="el"/>
        </w:rPr>
        <w:t xml:space="preserve">2) </w:t>
      </w:r>
      <w:r>
        <w:rPr>
          <w:b/>
          <w:bCs/>
          <w:lang w:val="el" w:eastAsia="el"/>
        </w:rPr>
        <w:t>Η παρούσα απόφαση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1"/>
        <w:gridCol w:w="7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ΔΙΟΙΚΗΤΗΣ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 Η ΥΦΥΠΟΥΡΓΟΣ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ΕΘΝΙΚΗΣ ΟΙΚΟΝΟΜΙΑΣ &amp; ΠΕΡΙΒΑΛΛΟΝΤΟΣ ΚΑΙ</w:t>
            </w:r>
          </w:p>
          <w:p>
            <w:pPr>
              <w:spacing w:before="240"/>
              <w:rPr>
                <w:b w:val="0"/>
                <w:bCs w:val="0"/>
                <w:i w:val="0"/>
                <w:iCs w:val="0"/>
                <w:smallCaps w:val="0"/>
                <w:color w:val="000000"/>
                <w:lang w:val="el" w:eastAsia="el"/>
              </w:rPr>
            </w:pPr>
            <w:r>
              <w:rPr>
                <w:b/>
                <w:bCs/>
                <w:i w:val="0"/>
                <w:iCs w:val="0"/>
                <w:smallCaps w:val="0"/>
                <w:color w:val="000000"/>
                <w:lang w:val="el" w:eastAsia="el"/>
              </w:rPr>
              <w:t>ΟΙΚΟΝΟΜΙΚΩΝ ΕΝΕΡΓΕΙΑΣ</w:t>
            </w:r>
          </w:p>
        </w:tc>
      </w:tr>
    </w:tbl>
    <w:p>
      <w:pPr>
        <w:spacing w:before="240" w:after="240"/>
        <w:rPr>
          <w:lang w:val="el" w:eastAsia="el"/>
        </w:rPr>
      </w:pPr>
      <w:r>
        <w:rPr>
          <w:b/>
          <w:bCs/>
          <w:lang w:val="el" w:eastAsia="el"/>
        </w:rPr>
        <w:t>ΓΕΩΡΓΙΟΣ ΠΙΤΣΙΛΗΣ ΘΕΟΧΑΡΗΣ ΘΕΟΧΑΡΗΣ ΑΛΕΞΑΝΔΡΑ ΣΔΟΥΚΟΥ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της Γ.Δ.ΗΛΕ.Δ. (για ενημέρωση της Ηλεκτρονικής</w:t>
      </w:r>
    </w:p>
    <w:p>
      <w:pPr>
        <w:spacing w:before="240" w:after="240"/>
        <w:rPr>
          <w:lang w:val="el" w:eastAsia="el"/>
        </w:rPr>
      </w:pPr>
      <w:r>
        <w:rPr>
          <w:b/>
          <w:bCs/>
          <w:lang w:val="el" w:eastAsia="el"/>
        </w:rPr>
        <w:t>Βιβλιοθήκης και του portal της Α.Α.Δ.Ε)), e-mail:</w:t>
      </w:r>
      <w:hyperlink r:id="rId7"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Γραφείο Υπουργού Εθνικής Οικονομίας &amp; Οικονομικών</w:t>
      </w:r>
    </w:p>
    <w:p>
      <w:pPr>
        <w:spacing w:before="240" w:after="240"/>
        <w:rPr>
          <w:lang w:val="el" w:eastAsia="el"/>
        </w:rPr>
      </w:pP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Γραφείο Υπουργού Περιβάλλοντος &amp; Ενέργειας</w:t>
      </w:r>
    </w:p>
    <w:p>
      <w:pPr>
        <w:spacing w:before="240" w:after="240"/>
        <w:rPr>
          <w:lang w:val="el" w:eastAsia="el"/>
        </w:rPr>
      </w:pPr>
      <w:r>
        <w:rPr>
          <w:b/>
          <w:bCs/>
          <w:lang w:val="el" w:eastAsia="el"/>
        </w:rPr>
        <w:t>Γραφείο Υφυπουργού Περιβάλλοντος &amp; Ενέργειας</w:t>
      </w:r>
    </w:p>
    <w:p>
      <w:pPr>
        <w:spacing w:before="240" w:after="240"/>
        <w:rPr>
          <w:lang w:val="el" w:eastAsia="el"/>
        </w:rPr>
      </w:pPr>
      <w:r>
        <w:rPr>
          <w:b/>
          <w:bCs/>
          <w:lang w:val="el" w:eastAsia="el"/>
        </w:rPr>
        <w:t>Γραφείο Υπουργού Ανάπτυξης</w:t>
      </w:r>
    </w:p>
    <w:p>
      <w:pPr>
        <w:spacing w:before="240" w:after="240"/>
        <w:rPr>
          <w:lang w:val="el" w:eastAsia="el"/>
        </w:rPr>
      </w:pPr>
      <w:r>
        <w:rPr>
          <w:b/>
          <w:bCs/>
          <w:lang w:val="el" w:eastAsia="el"/>
        </w:rPr>
        <w:t>Γραφείο Υπουργού Ναυτιλίας &amp; Νησιωτικής Πολιτικής</w:t>
      </w:r>
    </w:p>
    <w:p>
      <w:pPr>
        <w:spacing w:before="240" w:after="240"/>
        <w:rPr>
          <w:lang w:val="el" w:eastAsia="el"/>
        </w:rPr>
      </w:pPr>
      <w:r>
        <w:rPr>
          <w:b/>
          <w:bCs/>
          <w:lang w:val="el" w:eastAsia="el"/>
        </w:rPr>
        <w:t>Γραφείο Γεν. Δ/ντριας Γενικού Χημείου Κράτους</w:t>
      </w:r>
    </w:p>
    <w:p>
      <w:pPr>
        <w:spacing w:before="240" w:after="240"/>
        <w:rPr>
          <w:lang w:val="el" w:eastAsia="el"/>
        </w:rPr>
      </w:pPr>
      <w:r>
        <w:rPr>
          <w:b/>
          <w:bCs/>
          <w:lang w:val="el" w:eastAsia="el"/>
        </w:rPr>
        <w:t xml:space="preserve">8.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 Τμήμα Α’ 9. Χημικές Υπηρεσίες</w:t>
      </w:r>
    </w:p>
    <w:p>
      <w:pPr>
        <w:spacing w:before="240" w:after="240"/>
        <w:rPr>
          <w:lang w:val="el" w:eastAsia="el"/>
        </w:rPr>
      </w:pPr>
      <w:r>
        <w:rPr>
          <w:b/>
          <w:bCs/>
          <w:lang w:val="el" w:eastAsia="el"/>
        </w:rPr>
        <w:t xml:space="preserve">10. </w:t>
      </w:r>
      <w:r>
        <w:rPr>
          <w:b/>
          <w:bCs/>
          <w:lang w:val="el" w:eastAsia="el"/>
        </w:rPr>
        <w:t>Τελωνειακές Περιφέρειες</w:t>
      </w:r>
    </w:p>
    <w:p>
      <w:pPr>
        <w:spacing w:before="240" w:after="240"/>
        <w:rPr>
          <w:lang w:val="el" w:eastAsia="el"/>
        </w:rPr>
      </w:pPr>
      <w:r>
        <w:rPr>
          <w:b/>
          <w:bCs/>
          <w:lang w:val="el" w:eastAsia="el"/>
        </w:rPr>
        <w:t xml:space="preserve">11. </w:t>
      </w:r>
      <w:r>
        <w:rPr>
          <w:b/>
          <w:bCs/>
          <w:lang w:val="el" w:eastAsia="el"/>
        </w:rPr>
        <w:t>Τελωνεία Α’ και Β’ τάξης</w:t>
      </w:r>
    </w:p>
    <w:p>
      <w:pPr>
        <w:spacing w:before="240" w:after="240"/>
        <w:rPr>
          <w:lang w:val="el" w:eastAsia="el"/>
        </w:rPr>
      </w:pPr>
      <w:r>
        <w:rPr>
          <w:b/>
          <w:bCs/>
          <w:lang w:val="el" w:eastAsia="el"/>
        </w:rPr>
        <w:t>Επιτελική Υπηρεσία Τελωνειακών Ελέγχων (Ε.Υ.Τ.Ε.),</w:t>
      </w:r>
    </w:p>
    <w:p>
      <w:pPr>
        <w:spacing w:before="240" w:after="240"/>
        <w:rPr>
          <w:lang w:val="el" w:eastAsia="el"/>
        </w:rPr>
      </w:pPr>
      <w:r>
        <w:rPr>
          <w:b/>
          <w:bCs/>
          <w:lang w:val="el" w:eastAsia="el"/>
        </w:rPr>
        <w:t>Ελεγκτικές Υπηρεσίες Τελωνείων (ΕΛ.Υ.Τ.) Αττικής – Θεσσαλονίκης</w:t>
      </w:r>
    </w:p>
    <w:p>
      <w:pPr>
        <w:spacing w:before="240" w:after="240"/>
        <w:rPr>
          <w:lang w:val="el" w:eastAsia="el"/>
        </w:rPr>
      </w:pPr>
      <w:r>
        <w:rPr>
          <w:b/>
          <w:bCs/>
          <w:lang w:val="el" w:eastAsia="el"/>
        </w:rPr>
        <w:t>Συντονιστικό Επιχειρησιακό Κέντρο (Σ.Ε.Κ.)</w:t>
      </w:r>
    </w:p>
    <w:p>
      <w:pPr>
        <w:spacing w:before="240" w:after="240"/>
        <w:rPr>
          <w:lang w:val="el" w:eastAsia="el"/>
        </w:rPr>
      </w:pP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16. </w:t>
      </w:r>
      <w:r>
        <w:rPr>
          <w:b/>
          <w:bCs/>
          <w:lang w:val="el" w:eastAsia="el"/>
        </w:rPr>
        <w:t>Γενική Δ/νση Σώματος Δίωξης Οικονομικούς Εγκλήματος (ΣΔΟΕ) του Υπουργείου Οικονομικών</w:t>
      </w:r>
    </w:p>
    <w:p>
      <w:pPr>
        <w:spacing w:before="240" w:after="240"/>
        <w:rPr>
          <w:lang w:val="el" w:eastAsia="el"/>
        </w:rPr>
      </w:pPr>
      <w:r>
        <w:rPr>
          <w:b/>
          <w:bCs/>
          <w:lang w:val="el" w:eastAsia="el"/>
        </w:rPr>
        <w:t>Αυτοτελές Τμήμα Διεθνών Τελωνειακών Σχέσεων</w:t>
      </w:r>
    </w:p>
    <w:p>
      <w:pPr>
        <w:spacing w:before="240" w:after="240"/>
        <w:rPr>
          <w:lang w:val="el" w:eastAsia="el"/>
        </w:rPr>
      </w:pPr>
      <w:r>
        <w:rPr>
          <w:b/>
          <w:bCs/>
          <w:lang w:val="el" w:eastAsia="el"/>
        </w:rPr>
        <w:t xml:space="preserve">18. </w:t>
      </w:r>
      <w:r>
        <w:rPr>
          <w:b/>
          <w:bCs/>
          <w:lang w:val="el" w:eastAsia="el"/>
        </w:rPr>
        <w:t>Δ/νση Εσωτερικού Ελέγχου</w:t>
      </w:r>
    </w:p>
    <w:p>
      <w:pPr>
        <w:spacing w:before="240" w:after="240"/>
        <w:rPr>
          <w:lang w:val="el" w:eastAsia="el"/>
        </w:rPr>
      </w:pPr>
      <w:r>
        <w:rPr>
          <w:b/>
          <w:bCs/>
          <w:lang w:val="el" w:eastAsia="el"/>
        </w:rPr>
        <w:t>Διεύθυνση Νομικής Υποστήριξης Α.Α.Δ.Ε.</w:t>
      </w:r>
    </w:p>
    <w:p>
      <w:pPr>
        <w:spacing w:before="240" w:after="240"/>
        <w:rPr>
          <w:lang w:val="el" w:eastAsia="el"/>
        </w:rPr>
      </w:pPr>
      <w:r>
        <w:rPr>
          <w:b/>
          <w:bCs/>
          <w:lang w:val="el" w:eastAsia="el"/>
        </w:rPr>
        <w:t xml:space="preserve">20. </w:t>
      </w:r>
      <w:r>
        <w:rPr>
          <w:b/>
          <w:bCs/>
          <w:lang w:val="el" w:eastAsia="el"/>
        </w:rPr>
        <w:t>Δ/νση Επικοινωνίας ΑΑΔΕ</w:t>
      </w:r>
    </w:p>
    <w:p>
      <w:pPr>
        <w:spacing w:before="240" w:after="240"/>
        <w:rPr>
          <w:lang w:val="el" w:eastAsia="el"/>
        </w:rPr>
      </w:pPr>
      <w:r>
        <w:rPr>
          <w:b/>
          <w:bCs/>
          <w:lang w:val="el" w:eastAsia="el"/>
        </w:rPr>
        <w:t xml:space="preserve">21. </w:t>
      </w:r>
      <w:r>
        <w:rPr>
          <w:b/>
          <w:bCs/>
          <w:lang w:val="el" w:eastAsia="el"/>
        </w:rPr>
        <w:t>Δ/νση Εξυπηρέτησης ΑΑΔΕ</w:t>
      </w:r>
    </w:p>
    <w:p>
      <w:pPr>
        <w:spacing w:before="240" w:after="240"/>
        <w:rPr>
          <w:lang w:val="el" w:eastAsia="el"/>
        </w:rPr>
      </w:pPr>
      <w:r>
        <w:rPr>
          <w:b/>
          <w:bCs/>
          <w:lang w:val="el" w:eastAsia="el"/>
        </w:rPr>
        <w:t xml:space="preserve">22. </w:t>
      </w:r>
      <w:r>
        <w:rPr>
          <w:b/>
          <w:bCs/>
          <w:lang w:val="el" w:eastAsia="el"/>
        </w:rPr>
        <w:t>ΦΟ.Τ.Α.</w:t>
      </w:r>
    </w:p>
    <w:p>
      <w:pPr>
        <w:spacing w:before="240" w:after="240"/>
        <w:rPr>
          <w:lang w:val="el" w:eastAsia="el"/>
        </w:rPr>
      </w:pPr>
      <w:r>
        <w:rPr>
          <w:b/>
          <w:bCs/>
          <w:lang w:val="el" w:eastAsia="el"/>
        </w:rPr>
        <w:t xml:space="preserve">23. </w:t>
      </w:r>
      <w:r>
        <w:rPr>
          <w:b/>
          <w:bCs/>
          <w:lang w:val="el" w:eastAsia="el"/>
        </w:rPr>
        <w:t>Σύνδεσμος Εταιρειών Εμπορίας Πετρελαιοειδών (ΣΕΕΠΕ)</w:t>
      </w:r>
    </w:p>
    <w:p>
      <w:pPr>
        <w:spacing w:before="240" w:after="240"/>
        <w:rPr>
          <w:lang w:val="el" w:eastAsia="el"/>
        </w:rPr>
      </w:pPr>
      <w:r>
        <w:rPr>
          <w:b/>
          <w:bCs/>
          <w:lang w:val="el" w:eastAsia="el"/>
        </w:rPr>
        <w:t>Ίωνος Δραγούμη 46, ΤΚ: 11528, Ιλίσια, email:</w:t>
      </w:r>
      <w:hyperlink r:id="rId8"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24.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ΤΚ: 15125, email:</w:t>
      </w:r>
      <w:hyperlink r:id="rId9"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25. </w:t>
      </w:r>
      <w:r>
        <w:rPr>
          <w:b/>
          <w:bCs/>
          <w:lang w:val="el" w:eastAsia="el"/>
        </w:rPr>
        <w:t>MOTOR OIL (ΕΛΛΑΣ) Α.Ε.</w:t>
      </w:r>
    </w:p>
    <w:p>
      <w:pPr>
        <w:spacing w:before="240" w:after="240"/>
        <w:rPr>
          <w:lang w:val="el" w:eastAsia="el"/>
        </w:rPr>
      </w:pPr>
      <w:r>
        <w:rPr>
          <w:b/>
          <w:bCs/>
          <w:lang w:val="el" w:eastAsia="el"/>
        </w:rPr>
        <w:t>α) ΔΙΥΛΙΣΤΗΡΙΑ ΚΟΡΙΝΘΟΥ Α.Ε., email:</w:t>
      </w:r>
      <w:hyperlink r:id="rId10" w:history="1">
        <w:r>
          <w:rPr>
            <w:rStyle w:val="Hyperlink"/>
            <w:b/>
            <w:bCs/>
            <w:color w:val="0000EE"/>
            <w:u w:color="0000EE"/>
            <w:lang w:val="el" w:eastAsia="el"/>
          </w:rPr>
          <w:t>motoroil.refinery@moh.gr</w:t>
        </w:r>
      </w:hyperlink>
    </w:p>
    <w:p>
      <w:pPr>
        <w:spacing w:before="240" w:after="240"/>
        <w:rPr>
          <w:lang w:val="el" w:eastAsia="el"/>
        </w:rPr>
      </w:pPr>
      <w:r>
        <w:rPr>
          <w:b/>
          <w:bCs/>
          <w:lang w:val="el" w:eastAsia="el"/>
        </w:rPr>
        <w:t>β) Ηρώδου Αττικού 12Α ,15 124 Μαρούσι, email:</w:t>
      </w:r>
      <w:hyperlink r:id="rId11"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26. </w:t>
      </w:r>
      <w:r>
        <w:rPr>
          <w:b/>
          <w:bCs/>
          <w:lang w:val="el" w:eastAsia="el"/>
        </w:rPr>
        <w:t>Ομοσπονδία Εκτελωνιστών Ελλάδας, Τσαμαδού 38 – Τ.Κ. 18531 – Πειραιάς, email:</w:t>
      </w:r>
      <w:hyperlink r:id="rId12"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27.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 email:</w:t>
      </w:r>
      <w:hyperlink r:id="rId13" w:history="1">
        <w:r>
          <w:rPr>
            <w:rStyle w:val="Hyperlink"/>
            <w:b/>
            <w:bCs/>
            <w:color w:val="0000EE"/>
            <w:u w:color="0000EE"/>
            <w:lang w:val="el" w:eastAsia="el"/>
          </w:rPr>
          <w:t>info@sepa.gr</w:t>
        </w:r>
      </w:hyperlink>
    </w:p>
    <w:p>
      <w:pPr>
        <w:spacing w:before="240" w:after="240"/>
        <w:rPr>
          <w:lang w:val="el" w:eastAsia="el"/>
        </w:rPr>
      </w:pPr>
      <w:r>
        <w:rPr>
          <w:b/>
          <w:bCs/>
          <w:lang w:val="el" w:eastAsia="el"/>
        </w:rPr>
        <w:t xml:space="preserve">28. </w:t>
      </w:r>
      <w:r>
        <w:rPr>
          <w:b/>
          <w:bCs/>
          <w:lang w:val="el" w:eastAsia="el"/>
        </w:rPr>
        <w:t>Σύλλογος Εκτελωνιστών Θεσσαλονίκης, Κουντουριώτου 13 – ΤΚ: 54626 – Θεσσαλονίκη, email:</w:t>
      </w:r>
      <w:hyperlink r:id="rId14"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29. </w:t>
      </w:r>
      <w:r>
        <w:rPr>
          <w:b/>
          <w:bCs/>
          <w:lang w:val="el" w:eastAsia="el"/>
        </w:rPr>
        <w:t>Κεντρική Ένωση Επιμελητηρίων Ελλάδος, Ακαδημίας 6, TK: 106 71 – Αθήνα, email:</w:t>
      </w:r>
      <w:hyperlink r:id="rId15"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30. </w:t>
      </w:r>
      <w:r>
        <w:rPr>
          <w:b/>
          <w:bCs/>
          <w:lang w:val="el" w:eastAsia="el"/>
        </w:rPr>
        <w:t>Οικονομικό Επιμελητήριο Ελλάδος, Μητροπόλεως 12-14, ΤΚ: 105 63 –Αθήνα, e-mail:</w:t>
      </w:r>
      <w:hyperlink r:id="rId1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31. </w:t>
      </w:r>
      <w:r>
        <w:rPr>
          <w:b/>
          <w:bCs/>
          <w:lang w:val="el" w:eastAsia="el"/>
        </w:rPr>
        <w:t>Εμπορικό και Βιομηχανικό Επιμελητήριο Αθηνών Ακαδημίας 7, ΤΚ: 106 71-Αθήνα ,e-mail:</w:t>
      </w:r>
      <w:hyperlink r:id="rId17"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32. </w:t>
      </w:r>
      <w:r>
        <w:rPr>
          <w:b/>
          <w:bCs/>
          <w:lang w:val="el" w:eastAsia="el"/>
        </w:rPr>
        <w:t>Εμπορικό και Βιομηχανικό Επιμελητήριο Θεσσαλονίκης -Τσιμισκή 29, ΤΚ: 54624, e-mail:</w:t>
      </w:r>
      <w:hyperlink r:id="rId18"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33. </w:t>
      </w:r>
      <w:r>
        <w:rPr>
          <w:b/>
          <w:bCs/>
          <w:lang w:val="el" w:eastAsia="el"/>
        </w:rPr>
        <w:t>Σύνδεσμος Βιομηχανιών Αττικής &amp; Πειραιά, Αμερικής 10 Τ.Κ. 10671 Αθήνα. email:</w:t>
      </w:r>
      <w:hyperlink r:id="rId19"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34. </w:t>
      </w:r>
      <w:r>
        <w:rPr>
          <w:b/>
          <w:bCs/>
          <w:lang w:val="el" w:eastAsia="el"/>
        </w:rPr>
        <w:t>Σύνδεσμος Βιομηχανιών Βορείου Ελλάδος, Πλ. Μοριχόβου 1 Τ.Κ. 54625 Θεσσαλονίκη, email:</w:t>
      </w:r>
      <w:hyperlink r:id="rId20" w:history="1">
        <w:r>
          <w:rPr>
            <w:rStyle w:val="Hyperlink"/>
            <w:b/>
            <w:bCs/>
            <w:color w:val="0000EE"/>
            <w:u w:color="0000EE"/>
            <w:lang w:val="el" w:eastAsia="el"/>
          </w:rPr>
          <w:t>info@sbbe.gr</w:t>
        </w:r>
      </w:hyperlink>
    </w:p>
    <w:p>
      <w:pPr>
        <w:spacing w:before="240" w:after="240"/>
        <w:rPr>
          <w:lang w:val="el" w:eastAsia="el"/>
        </w:rPr>
      </w:pPr>
      <w:r>
        <w:rPr>
          <w:b/>
          <w:bCs/>
          <w:lang w:val="el" w:eastAsia="el"/>
        </w:rPr>
        <w:t xml:space="preserve">35. </w:t>
      </w:r>
      <w:r>
        <w:rPr>
          <w:b/>
          <w:bCs/>
          <w:lang w:val="el" w:eastAsia="el"/>
        </w:rPr>
        <w:t>Σύνδεσμος Βιομηχανιών Θεσσαλίας &amp; Στερεάς Ελλάδος, Ελ. Βενιζέλου 4, Βόλος 382 21, email:</w:t>
      </w:r>
      <w:hyperlink r:id="rId21"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36. </w:t>
      </w:r>
      <w:r>
        <w:rPr>
          <w:b/>
          <w:bCs/>
          <w:lang w:val="el" w:eastAsia="el"/>
        </w:rPr>
        <w:t>Ομοσπονδία Βενζινοπωλών Ελλάδος (Ο.Β.Ε.), email:</w:t>
      </w:r>
      <w:hyperlink r:id="rId22" w:history="1">
        <w:r>
          <w:rPr>
            <w:rStyle w:val="Hyperlink"/>
            <w:b/>
            <w:bCs/>
            <w:color w:val="0000EE"/>
            <w:u w:color="0000EE"/>
            <w:lang w:val="el" w:eastAsia="el"/>
          </w:rPr>
          <w:t>info@obe.gr</w:t>
        </w:r>
      </w:hyperlink>
    </w:p>
    <w:p>
      <w:pPr>
        <w:spacing w:before="240" w:after="240"/>
        <w:rPr>
          <w:lang w:val="el" w:eastAsia="el"/>
        </w:rPr>
      </w:pPr>
      <w:r>
        <w:rPr>
          <w:b/>
          <w:bCs/>
          <w:lang w:val="el" w:eastAsia="el"/>
        </w:rPr>
        <w:t xml:space="preserve">37. </w:t>
      </w:r>
      <w:r>
        <w:rPr>
          <w:b/>
          <w:bCs/>
          <w:lang w:val="el" w:eastAsia="el"/>
        </w:rPr>
        <w:t>Πανελλήνια Ομοσπονδία Πρατηριούχων Εμπόρων Καυσίμων (ΠΟΠΕΚ), email:</w:t>
      </w:r>
      <w:hyperlink r:id="rId23" w:history="1">
        <w:r>
          <w:rPr>
            <w:rStyle w:val="Hyperlink"/>
            <w:b/>
            <w:bCs/>
            <w:color w:val="0000EE"/>
            <w:u w:color="0000EE"/>
            <w:lang w:val="el" w:eastAsia="el"/>
          </w:rPr>
          <w:t>popek@popek.gr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Δ/νση ΕΦΚ &amp; ΦΠΑ – Τμήματα Α’, Β, Γ, Δ &amp; Ε΄</w:t>
      </w:r>
    </w:p>
    <w:p>
      <w:pPr>
        <w:spacing w:before="240" w:after="240"/>
        <w:rPr>
          <w:lang w:val="el" w:eastAsia="el"/>
        </w:rPr>
      </w:pPr>
      <w:r>
        <w:rPr>
          <w:b/>
          <w:bCs/>
          <w:lang w:val="el" w:eastAsia="el"/>
        </w:rPr>
        <w:t xml:space="preserve">4.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5. </w:t>
      </w:r>
      <w:r>
        <w:rPr>
          <w:b/>
          <w:bCs/>
          <w:lang w:val="el" w:eastAsia="el"/>
        </w:rPr>
        <w:t>Δ/νση Τελωνειακών Διαδικασιών</w:t>
      </w:r>
    </w:p>
    <w:p>
      <w:pPr>
        <w:spacing w:before="240" w:after="240"/>
        <w:rPr>
          <w:lang w:val="el" w:eastAsia="el"/>
        </w:rPr>
      </w:pPr>
      <w:r>
        <w:rPr>
          <w:b/>
          <w:bCs/>
          <w:lang w:val="el" w:eastAsia="el"/>
        </w:rPr>
        <w:t xml:space="preserve">6. </w:t>
      </w:r>
      <w:r>
        <w:rPr>
          <w:b/>
          <w:bCs/>
          <w:lang w:val="el" w:eastAsia="el"/>
        </w:rPr>
        <w:t>Δ/νση Δασμολογικών Θεμάτων Ειδικών Καθεστώτων &amp;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inery@moh.gr" TargetMode="External" /><Relationship Id="rId11" Type="http://schemas.openxmlformats.org/officeDocument/2006/relationships/hyperlink" Target="mailto:Info@moh.gr" TargetMode="External" /><Relationship Id="rId12" Type="http://schemas.openxmlformats.org/officeDocument/2006/relationships/hyperlink" Target="mailto:oete@oete.gr" TargetMode="External" /><Relationship Id="rId13" Type="http://schemas.openxmlformats.org/officeDocument/2006/relationships/hyperlink" Target="mailto:info@sepa.gr" TargetMode="External" /><Relationship Id="rId14" Type="http://schemas.openxmlformats.org/officeDocument/2006/relationships/hyperlink" Target="mailto:info@seth.gr" TargetMode="External" /><Relationship Id="rId15" Type="http://schemas.openxmlformats.org/officeDocument/2006/relationships/hyperlink" Target="mailto:keeuhcci@uhc.gr" TargetMode="External" /><Relationship Id="rId16" Type="http://schemas.openxmlformats.org/officeDocument/2006/relationships/hyperlink" Target="mailto:oee@oee.gr" TargetMode="External" /><Relationship Id="rId17" Type="http://schemas.openxmlformats.org/officeDocument/2006/relationships/hyperlink" Target="mailto:info@acci.gr" TargetMode="External" /><Relationship Id="rId18" Type="http://schemas.openxmlformats.org/officeDocument/2006/relationships/hyperlink" Target="mailto:root@ebeth.gr" TargetMode="External" /><Relationship Id="rId19" Type="http://schemas.openxmlformats.org/officeDocument/2006/relationships/hyperlink" Target="mailto:svap@svap.gr" TargetMode="External" /><Relationship Id="rId2" Type="http://schemas.openxmlformats.org/officeDocument/2006/relationships/webSettings" Target="webSettings.xml" /><Relationship Id="rId20" Type="http://schemas.openxmlformats.org/officeDocument/2006/relationships/hyperlink" Target="mailto:info@sbbe.gr" TargetMode="External" /><Relationship Id="rId21" Type="http://schemas.openxmlformats.org/officeDocument/2006/relationships/hyperlink" Target="mailto:info@sbtse.gr" TargetMode="External" /><Relationship Id="rId22" Type="http://schemas.openxmlformats.org/officeDocument/2006/relationships/hyperlink" Target="mailto:info@obe.gr" TargetMode="External" /><Relationship Id="rId23" Type="http://schemas.openxmlformats.org/officeDocument/2006/relationships/hyperlink" Target="mailto:popek@popek.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evxp.gcsl@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seepe@seepe.gr" TargetMode="External" /><Relationship Id="rId9" Type="http://schemas.openxmlformats.org/officeDocument/2006/relationships/hyperlink" Target="mailto:helpe@hel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