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ΡΟΓ746ΜΠ3Ζ-40Χ</w:t>
      </w:r>
    </w:p>
    <w:p>
      <w:pPr>
        <w:pStyle w:val="PreambelText"/>
        <w:spacing w:before="240" w:after="240"/>
        <w:rPr>
          <w:lang w:val="el" w:eastAsia="el"/>
        </w:rPr>
      </w:pPr>
      <w:r>
        <w:rPr>
          <w:b/>
          <w:bCs/>
          <w:lang w:val="el" w:eastAsia="el"/>
        </w:rPr>
        <w:t>Αριθ. ΦΕΚ: 5994 Β/13.10.2023</w:t>
      </w:r>
    </w:p>
    <w:p>
      <w:pPr>
        <w:pStyle w:val="PreambelText"/>
        <w:spacing w:before="240" w:after="240"/>
        <w:rPr>
          <w:lang w:val="el" w:eastAsia="el"/>
        </w:rPr>
      </w:pPr>
      <w:r>
        <w:rPr>
          <w:b/>
          <w:bCs/>
          <w:lang w:val="el" w:eastAsia="el"/>
        </w:rPr>
        <w:t>Αθήνα, 12 Οκτωβρίου 2023</w:t>
      </w:r>
    </w:p>
    <w:p>
      <w:pPr>
        <w:pStyle w:val="PreambelText"/>
        <w:spacing w:before="240" w:after="240"/>
        <w:rPr>
          <w:lang w:val="el" w:eastAsia="el"/>
        </w:rPr>
      </w:pPr>
      <w:r>
        <w:rPr>
          <w:b/>
          <w:bCs/>
          <w:lang w:val="el" w:eastAsia="el"/>
        </w:rPr>
        <w:t>Α.1157</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210-4802648</w:t>
      </w:r>
    </w:p>
    <w:p>
      <w:pPr>
        <w:spacing w:before="240" w:after="240"/>
        <w:rPr>
          <w:lang w:val="el" w:eastAsia="el"/>
        </w:rPr>
      </w:pPr>
      <w:r>
        <w:rPr>
          <w:b/>
          <w:bCs/>
          <w:lang w:val="el" w:eastAsia="el"/>
        </w:rPr>
        <w:t>210-4802621 210-4802154 210-4802898</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 .gr</w:t>
        </w:r>
      </w:hyperlink>
    </w:p>
    <w:p>
      <w:pPr>
        <w:spacing w:before="240" w:after="240"/>
        <w:rPr>
          <w:lang w:val="el" w:eastAsia="el"/>
        </w:rPr>
      </w:pPr>
      <w:r>
        <w:rPr>
          <w:b/>
          <w:bCs/>
          <w:lang w:val="el" w:eastAsia="el"/>
        </w:rPr>
        <w:t>Θέμα: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15Β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παρ. 5 του άρθρου 14, καθώς και του άρθρου 15 του ΚΦΔ, γ) 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2.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(Β΄5992)</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Α.1156/2023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 (Β΄5993)</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Α.1021/2023 απόφασης του Διοικητή της Α.Α.Δ.Ε. «Αναβάθμιση λειτουργούντων Φορολογικών Ταμειακών Μηχανών και ΑΔΗΜΕ με εξαίρεση των ΑΔΗΜΕ ταξιμέτρων» (Β΄1826).</w:t>
      </w:r>
    </w:p>
    <w:p>
      <w:pPr>
        <w:spacing w:before="240" w:after="240"/>
        <w:rPr>
          <w:lang w:val="el" w:eastAsia="el"/>
        </w:rPr>
      </w:pPr>
      <w:r>
        <w:rPr>
          <w:b/>
          <w:bCs/>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Την ανάγκη παροχής επαρκούς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15Β ΚΦΔ.</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τον χρόνο και τη διαδικασία διασύνδεσης των Μέσων Πληρωμών, που χρησιμοποιούν οι οντότητες του άρθρου 1 του ν.4308/2014 (Α΄251) με τα Ταμειακά τους Συστήματα και την Α.Α.Δ.Ε.. Τροποποιούμε την υπό στοιχεία Α.1021/2023 (Β΄1826) Απόφαση του Διοικητή της Α.Α.Δ.Ε..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Χρόνος και διαδικασία διασύνδεσης των Μέσων Πληρωμών, που χρησιμοποιούν οι οντότητες του άρθρου 1 του ν.4308/2014 (Α΄251) με τα Ταμειακά τους Συστήματα, και την Α.Α.Δ.Ε.</w:t>
      </w:r>
    </w:p>
    <w:p>
      <w:pPr>
        <w:spacing w:before="240" w:after="240"/>
        <w:rPr>
          <w:lang w:val="el" w:eastAsia="el"/>
        </w:rPr>
      </w:pPr>
      <w:r>
        <w:rPr>
          <w:b/>
          <w:bCs/>
          <w:lang w:val="el" w:eastAsia="el"/>
        </w:rPr>
        <w:t xml:space="preserve">1 </w:t>
      </w:r>
      <w:r>
        <w:rPr>
          <w:b/>
          <w:bCs/>
          <w:lang w:val="el" w:eastAsia="el"/>
        </w:rPr>
        <w:t>. ΟΡΙΣΜΟΙ</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Ως «Πάροχος Υπηρεσιών Πληρωμών (Acquirer)»: Το νομικό πρόσωπο που παρέχει υπηρεσίες εκτέλεσης πράξεων πληρωμής, με κάρτα πληρωμής (πιστωτικής, χρεωστικής, προπληρωμένης κλπ). Οι υπηρεσίες αποδοχής καρτών παρέχονται εκ μέρους του Παρόχου Υπηρεσιών Πληρωμών προς μια συμβεβλημένη οντότητα του άρθρου 1 του ν.4308/2014, προκειμένου η τελευταία να είναι σε θέση να δέχεται την καταβολή του αντιτίμου των αγαθών ή/και υπηρεσιών, δια της χρήσης καρτών πληρωμών.</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Ο Πάροχος Μέσων Πληρωμών (NSP) δύναται να συμβάλλεται τόσο με Πάροχο Υπηρεσιών Πληρωμών (Acquirer), όσο και απευθείας με τις υπόχρεες οντότητες του άρθρου 1 του ν.4308/2014.</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Ως «Χρήστης υπηρεσιών πληρωμών»: Η οντότητα του άρθρου 1 του ν.4308/2014 που χρησιμοποιεί υπηρεσίες εκτέλεσης πράξεων πληρωμής με κάρτα ως δικαιούχος.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(Acquirer), που χρησιμοποιείται για την εκκίνηση εντολής πληρωμής με κάρτα.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Ως «ενεργό μέσο πληρωμών» νοείται κάθε μέσο που δύναται να χρησιμοποιηθεί από τον Χρήστη υπηρεσιών πληρωμών για την αποδοχή καρτών πληρωμών, χωρίς να απαιτούνται περαιτέρω ενέργειες για την ενεργοποίησή του από την πλευρά των Παρόχων Υπηρεσιών Πληρωμών (Acquirer) ή των Παρόχων Μέσων Πληρωμών (NSP).</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Ως «αναβάθμιση των Μέσων Πληρωμών»: νοείται η αντικατάσταση/επικαιροποίηση λογισμικού τους με νεότερη έκδοση με σκοπό την πλήρη εναρμόνισή τους με τις εκάστοτε επιχειρησιακές απαιτήσεις και τεχνικές προδιαγραφές που καθορίζουν τον τρόπο διασύνδεσής τους με τα ταμειακά συστήματα των Χρηστών υπηρεσιών πληρωμών, όπως αυτές τίθενται σε κάθε περίπτωση με απόφαση του Διοικητή Α.Α.Δ.Ε..</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Ως «Μητρώο Μέσων Πληρωμών»: Το Μητρώο που τηρείται στην Α.Α.Δ.Ε. και περιλαμβάνει το σύνολο των Μέσων Πληρωμών που χρησιμοποιούν οι Χρήστες υπηρεσιών πληρωμών, προκειμένου να δέχονται την καταβολή του αντιτίμου των αγαθών ή/και υπηρεσιών, δια της χρήσης καρτών πληρωμών (πιστωτικών, χρεωστικών, προπληρωμένων κ.λπ.).</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Ως «Βασικός κανόνας διασύνδεσης»: Η συνθήκη που επιτρέπει την ολοκλήρωση συναλλαγών που διενεργούνται με τη χρήση Μέσων Πληρωμών, αποκλειστικά και μόνο στην περίπτωση που έχει ολοκληρωθεί η έκδοση των σχετικών παραστατικών ανά συναλλαγή και έχουν διαβιβαστεί τα αντίστοιχα δεδομένα στην ψηφιακή πλατφόρμα myDATA, μέσω κατάλληλων μεθόδων διασύνδεσης των Ταμειακών Συστημάτων, των Μέσων Πληρωμών και των Παρόχων Υπηρεσιών Πληρωμών (Acquirers) με την Α.Α.Δ.Ε., καθώς τα Μέσα Πληρωμών δεν επιτρέπεται να λειτουργούν αυτόνομα.</w:t>
      </w:r>
    </w:p>
    <w:p>
      <w:pPr>
        <w:pStyle w:val="MainText"/>
        <w:spacing w:before="120" w:after="0"/>
        <w:rPr>
          <w:lang w:val="el" w:eastAsia="el"/>
        </w:rPr>
      </w:pPr>
      <w:r>
        <w:rPr>
          <w:b/>
          <w:bCs/>
          <w:lang w:val="el" w:eastAsia="el"/>
        </w:rPr>
        <w:t>1.10.</w:t>
      </w:r>
      <w:r>
        <w:rPr>
          <w:b/>
          <w:bCs/>
          <w:lang w:val="el" w:eastAsia="el"/>
        </w:rPr>
        <w:t xml:space="preserve"> </w:t>
      </w:r>
      <w:r>
        <w:rPr>
          <w:b/>
          <w:bCs/>
          <w:lang w:val="el" w:eastAsia="el"/>
        </w:rPr>
        <w:t>Ως «Μέθοδος Διασύνδεσης»: Η αρχιτεκτονική και η τεκμηρίωση της τεχνικής διαδικασίας υλοποίησης του Βασικού κανόνα διασύνδεσης.</w:t>
      </w:r>
    </w:p>
    <w:p>
      <w:pPr>
        <w:pStyle w:val="MainText"/>
        <w:spacing w:before="120" w:after="0"/>
        <w:rPr>
          <w:lang w:val="el" w:eastAsia="el"/>
        </w:rPr>
      </w:pPr>
      <w:r>
        <w:rPr>
          <w:b/>
          <w:bCs/>
          <w:lang w:val="el" w:eastAsia="el"/>
        </w:rPr>
        <w:t>1.11.</w:t>
      </w:r>
      <w:r>
        <w:rPr>
          <w:b/>
          <w:bCs/>
          <w:lang w:val="el" w:eastAsia="el"/>
        </w:rPr>
        <w:t xml:space="preserve"> </w:t>
      </w:r>
      <w:r>
        <w:rPr>
          <w:b/>
          <w:bCs/>
          <w:lang w:val="el" w:eastAsia="el"/>
        </w:rPr>
        <w:t>Ως «Δήλωση Συμμόρφωσης (Declaration of Conformity)»: Η δήλωση συμμόρφωσης του άρθρου 15Γ ΚΦΔ που έχουν υποχρέωση να υποβάλλουν στην Α.Α.Δ.Ε. οι Πάροχοι Υπηρεσιών Πληρωμών (Acquirers) και οι Πάροχοι Μέσων Πληρωμών (NSPs) ημεδαπής ή αλλοδαπής με την υποβολή της οποίας βεβαιώνουν την πλήρη συμμόρφωση της Μεθόδου Διασύνδεσης που ακολουθούν στον Βασικό κανόνα διασύνδεσης.</w:t>
      </w:r>
    </w:p>
    <w:p>
      <w:pPr>
        <w:spacing w:before="240" w:after="240"/>
        <w:rPr>
          <w:lang w:val="el" w:eastAsia="el"/>
        </w:rPr>
      </w:pPr>
      <w:r>
        <w:rPr>
          <w:b/>
          <w:bCs/>
          <w:lang w:val="el" w:eastAsia="el"/>
        </w:rPr>
        <w:t xml:space="preserve">2 </w:t>
      </w:r>
      <w:r>
        <w:rPr>
          <w:b/>
          <w:bCs/>
          <w:lang w:val="el" w:eastAsia="el"/>
        </w:rPr>
        <w:t>.ΧΡΟΝΟΣ ΔΙΑΣΥΝΔΕΣΗΣ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Αμέσως μετά την υποβολή της δήλωσης συμμόρφωσης του άρθρου 15Γ ΚΦΔ, όπως αυτή ρυθμίζεται στην υπό στοιχεία Α.1156/2023 απόφαση του Διοικητή Α.Α.Δ.Ε., οι Πάροχοι Υπηρεσιών Πληρωμών (Acquirers) και οι Πάροχοι Μέσων Πληρωμών (NSPs) υποχρεούνται να προβούν αμελλητί σε όλες τις, κατά περίπτωση, απαιτούμενες ενέργειες, ώστε οι υπηρεσίες εκτέλεσης πληρωμών που παρέχουν ή/και τα Μέσα Πληρωμών που διαθέτουν στους Χρήστες υπηρεσιών πληρωμών, να πληρούν τις λειτουργικές απαιτήσεις των υπό στοιχεία Α.1098/2022 και Α.1155/2023 Αποφάσεων του Διοικητή της Α.Α.Δ.Ε..</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Με σκοπό την κατά προτεραιότητα αναβάθμιση των υφιστάμενων, κατά την έναρξη ισχύος της παρούσας, Μέσων Πληρωμών των Χρηστών υπηρεσιών πληρωμών που υποχρεούνται να χρησιμοποιούν ΦΗΜ ή αντί αυτού, Πάροχο Υπηρεσιών Ηλεκτρονικής Έκδοσης Στοιχείων (ΥΠΑΗΕΣ), σύμφωνα με τις παρ. 8 και 10 του άρθρου 12 του ν.4308/2014 ή χρησιμοποιούν προαιρετικά ΦΗΜ, η Α.Α.Δ.Ε. αποστέλλει στους Παρόχους Μέσων Πληρωμών (NSPs) αρχείο, το οποίο περιλαμβάνει τα προς, κατά προτεραιότητα, αναβάθμιση Μέσα Πληρωμών των ως άνω Χρηστών υπηρεσιών πληρωμών, στα οποία οι Πάροχοι Μέσων Πληρωμών (NSPs) εμφανίζονται ως διαχειριστές στο Μητρώο Μέσων Πληρωμών.</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Οι Πάροχοι Μέσων Πληρωμών (NSPs) υποχρεούνται να ενημερώνουν την Α.Α.Δ.Ε. το αργότερο σε ημερήσια βάση για τα Μέσα Πληρωμών διαχείρισής τους, στα οποία ολοκληρώθηκε η αναβάθμιση την προηγούμενη ημέρα.</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Η Α.Α.Δ.Ε. ενημερώνει τους Χρήστες υπηρεσιών πληρωμών για τη δυνατότητα αναβάθμισης κάθε Μέσου Πληρωμών που διαθέτουν. Η ενημέρωση συντελείται με την αποστολή μηνύματος ηλεκτρονικού ταχυδρομείου και την ανάρτηση σχετικής ειδοποίησης στη θυρίδα τους (Τα Μηνύματά μου) στην ψηφιακή πύλη «myAADE», καθώς και με την αναγραφή ένδειξης «Προς Αναβάθμιση» στο Μητρώο Μέσων Πληρωμών.</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Η Α.Α.Δ.Ε. ενημερώνει κάθε Χρήστη υπηρεσιών πληρωμών για την ολοκλήρωση της αναβάθμισης του συνόλου των Μέσων Πληρωμών που αυτός διαθέτει. Η ενημέρωση συντελείται με την αποστολή μηνύματος ηλεκτρονικού ταχυδρομείου και την ανάρτηση σχετικής ειδοποίησης στη θυρίδα τους (Τα Μηνύματά μου) στην ψηφιακή πύλη «myAADE». Οι Χρήστες υπηρεσιών πληρωμών υποχρεούνται, εντός τριάντα (30) ημερών από την αποστολή του ως άνω μηνύματος ηλεκτρονικού ταχυδρομείου σε αυτούς και το αργότερο έως τις 29/2/2024, εφόσον υπολείπονται λιγότερες των τριάντα (30) ημερών από την ημερομηνία αποστολής του ως άνω μηνύματος, να προβούν σε όλες τις αναγκαίες ενέργειες για την τυχόν αναβάθμιση των Ταμειακών Συστημάτων τους και τη διασύνδεσή τους με τα Μέσα Πληρωμών που διαθέτουν, σύμφωνα με τα οριζόμενα στο άρθρο 15Β ΚΦΔ. Σε περίπτωση μη συμμόρφωσης, επιβάλλονται οι κυρώσεις που προβλέπονται στην παρ. 1 του άρθρου 54Θ ΚΦΔ.</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Εντός της προθεσμίας της προηγουμένης παραγράφου και το αργότερο έως τις 15/1/2024, οι Χρήστες υπηρεσιών πληρωμών που προτίθενται να αντικαταστήσουν τα Ταμειακά Συστήματα ή/και οποιοδήποτε από τα ενεργά Μέσα Πληρωμών που διαθέτουν, με άλλα Ταμειακά Συστήματα ή/και Μέσα Πληρωμών που δύνανται να διασυνδέονται μεταξύ τους, σύμφωνα με τα οριζόμενα στις Α.1098/2022 και Α.1155/2023 Αποφάσεις του Διοικητή της Α.Α.Δ.Ε., δηλώνουν την πρόθεσή τους στο Μητρώο Μέσων Πληρωμών στην ψηφιακή πύλη «myAADE». Δήλωση που υποβάλλεται μετά την ανωτέρω προθεσμία δεν εμποδίζει την επιβολή των κυρώσεων που προβλέπονται στην παρ. 1 του άρθρου 54Θ ΚΦΔ.</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Σε κάθε περίπτωση, οι Χρήστες υπηρεσιών πληρωμών που υποχρεούνται να χρησιμοποιούν ΦΗΜ ή αντί αυτού, Πάροχο Υπηρεσιών Ηλεκτρονικής Έκδοσης Στοιχείων (ΥΠΑΗΕΣ), σύμφωνα με τις παρ. 8 και 10 του άρθρου 12 του ν.4308/2014 ή χρησιμοποιούν προαιρετικά ΦΗΜ, έχουν υποχρέωση να χρησιμοποιούν αποκλειστικά Ταμειακά Συστήματα και Μέσα Πληρωμών που θα έχουν διασυνδεθεί μεταξύ τους, το αργότερο έως στις 29 Φεβρουαρίου 2024. Ειδικά οι επιχειρήσεις που λειτουργούν εποχικά και από την έναρξη ισχύος της παρούσας έως και την 29</w:t>
      </w:r>
      <w:r>
        <w:rPr>
          <w:b/>
          <w:bCs/>
          <w:sz w:val="30"/>
          <w:szCs w:val="30"/>
          <w:vertAlign w:val="superscript"/>
          <w:lang w:val="el" w:eastAsia="el"/>
        </w:rPr>
        <w:t>η</w:t>
      </w:r>
      <w:r>
        <w:rPr>
          <w:b/>
          <w:bCs/>
          <w:lang w:val="el" w:eastAsia="el"/>
        </w:rPr>
        <w:t xml:space="preserve"> Φεβρουαρίου 2024, δεν βρίσκονται σε λειτουργία, έχουν υποχρέωση να χρησιμοποιούν αποκλειστικά Ταμειακά Συστήματα και Μέσα Πληρωμών που θα έχουν διασυνδεθεί μεταξύ τους και θα πληρούν τα οριζόμενα στις Α.1098/2022 και Α.1155/2023 Αποφάσεις του Διοικητή της Α.Α.Δ.Ε. κατά την πρώτη ημέρα της επαναλειτουργίας τους.</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Τροποποίηση της Α.1021/2023 απόφασης Διοικητή Α.Α.Δ.Ε. «Αναβάθμιση λειτουργούντων Φορολογικών Ταμειακών Μηχανών και ΑΔΗΜΕ με εξαίρεση των ΑΔΗΜΕ ταξιμέτρων»</w:t>
      </w:r>
    </w:p>
    <w:p>
      <w:pPr>
        <w:spacing w:before="240" w:after="240"/>
        <w:rPr>
          <w:lang w:val="el" w:eastAsia="el"/>
        </w:rPr>
      </w:pPr>
      <w:r>
        <w:rPr>
          <w:b/>
          <w:bCs/>
          <w:lang w:val="el" w:eastAsia="el"/>
        </w:rPr>
        <w:t>Τροποποιούμε το προτελευταίο εδάφιο περί ημερομηνίας ολοκλήρωσης των αναβαθμίσεων της υπό στοιχεία Α.1021/2023 ως ακολούθως:</w:t>
      </w:r>
    </w:p>
    <w:p>
      <w:pPr>
        <w:spacing w:before="240" w:after="240"/>
        <w:rPr>
          <w:lang w:val="el" w:eastAsia="el"/>
        </w:rPr>
      </w:pPr>
      <w:r>
        <w:rPr>
          <w:b/>
          <w:bCs/>
          <w:lang w:val="el" w:eastAsia="el"/>
        </w:rPr>
        <w:t>«Η ολοκλήρωση των αναβαθμίσεων ορίζεται:</w:t>
      </w:r>
    </w:p>
    <w:p>
      <w:pPr>
        <w:spacing w:before="240" w:after="240"/>
        <w:rPr>
          <w:lang w:val="el" w:eastAsia="el"/>
        </w:rPr>
      </w:pPr>
      <w:r>
        <w:rPr>
          <w:b/>
          <w:bCs/>
          <w:lang w:val="el" w:eastAsia="el"/>
        </w:rPr>
        <w:t xml:space="preserve">i) </w:t>
      </w:r>
      <w:r>
        <w:rPr>
          <w:b/>
          <w:bCs/>
          <w:lang w:val="el" w:eastAsia="el"/>
        </w:rPr>
        <w:t>για οντότητες-κατόχους ΦΗΜ που έχουν υποχρέωση αποδοχής πληρωμών με κάρτα ή για όσες οντότητες-κατόχους ΦΗΜ κάνουν προαιρετική χρήση Μέσων Πληρωμών με κάρτα, έως την εκάστοτε, για κάθε οντότητα-κάτοχο ΦΗΜ, καταληκτική ημερομηνία της παρ. 2.5 του άρθρου 1 της Α.1157/2023 απόφασης Διοικητή Α.Α.Δ.Ε. και σε κάθε περίπτωση έως 29.2.2024 και</w:t>
      </w:r>
    </w:p>
    <w:p>
      <w:pPr>
        <w:spacing w:before="240" w:after="240"/>
        <w:rPr>
          <w:lang w:val="el" w:eastAsia="el"/>
        </w:rPr>
      </w:pPr>
      <w:r>
        <w:rPr>
          <w:b/>
          <w:bCs/>
          <w:lang w:val="el" w:eastAsia="el"/>
        </w:rPr>
        <w:t xml:space="preserve">ii) </w:t>
      </w:r>
      <w:r>
        <w:rPr>
          <w:b/>
          <w:bCs/>
          <w:lang w:val="el" w:eastAsia="el"/>
        </w:rPr>
        <w:t>για τις λοιπές οντότητες-κατόχους ΦΗΜ έως τις 30.4.2024.»</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Δ/νση Ελεγκτικών Διαδικασιών- Τμήμα Α΄</w:t>
      </w:r>
    </w:p>
    <w:p>
      <w:pPr>
        <w:spacing w:before="240" w:after="240"/>
        <w:rPr>
          <w:lang w:val="el" w:eastAsia="el"/>
        </w:rPr>
      </w:pPr>
      <w:r>
        <w:rPr>
          <w:b/>
          <w:bCs/>
          <w:lang w:val="el" w:eastAsia="el"/>
        </w:rPr>
        <w:t xml:space="preserve">10. </w:t>
      </w:r>
      <w:r>
        <w:rPr>
          <w:b/>
          <w:bCs/>
          <w:lang w:val="el" w:eastAsia="el"/>
        </w:rPr>
        <w:t>Διεύθυνση Διαχείρισης Υποδομών-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