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 ΟΙΚΟΝΟΜΙΑΣ ΚΑΙ ΟΙΚΟΝΟΜΙΚΩΝ</w:t>
      </w:r>
    </w:p>
    <w:p>
      <w:pPr>
        <w:pStyle w:val="Title"/>
        <w:spacing w:before="120" w:after="360"/>
        <w:rPr>
          <w:lang w:val="el" w:eastAsia="el"/>
        </w:rPr>
      </w:pPr>
      <w:r>
        <w:rPr>
          <w:b/>
          <w:bCs/>
          <w:lang w:val="el" w:eastAsia="el"/>
        </w:rPr>
        <w:t>Ι. ΓΡΑΦΕΙΟ ΥΠΟΥΡΓΟΥ</w:t>
      </w:r>
    </w:p>
    <w:p>
      <w:pPr>
        <w:pStyle w:val="Title"/>
        <w:spacing w:before="120" w:after="360"/>
        <w:rPr>
          <w:lang w:val="el" w:eastAsia="el"/>
        </w:rPr>
      </w:pPr>
      <w:r>
        <w:rPr>
          <w:b/>
          <w:bCs/>
          <w:lang w:val="el" w:eastAsia="el"/>
        </w:rPr>
        <w:t>ΙΙ. ΓΡΑΦΕΙΟ ΥΦΥΠΟΥΡΓΟΥ</w:t>
      </w:r>
    </w:p>
    <w:p>
      <w:pPr>
        <w:pStyle w:val="Title"/>
        <w:spacing w:before="120" w:after="360"/>
        <w:rPr>
          <w:lang w:val="el" w:eastAsia="el"/>
        </w:rPr>
      </w:pPr>
      <w:r>
        <w:rPr>
          <w:b/>
          <w:bCs/>
          <w:lang w:val="el" w:eastAsia="el"/>
        </w:rPr>
        <w:t>ΓΕΝ. ΓΡΑΜ. ΦΟΡ. ΠΟΛΙΤΙΚΗΣ</w:t>
      </w:r>
    </w:p>
    <w:p>
      <w:pPr>
        <w:pStyle w:val="Title"/>
        <w:spacing w:before="120" w:after="360"/>
        <w:rPr>
          <w:lang w:val="el" w:eastAsia="el"/>
        </w:rPr>
      </w:pPr>
      <w:r>
        <w:rPr>
          <w:b/>
          <w:bCs/>
          <w:lang w:val="el" w:eastAsia="el"/>
        </w:rPr>
        <w:t>Δ/ΝΣΗ ΦΟΡΟΛ. ΠΟΛΙΤΙΚΗΣ</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Ι. ΔΙΕΥΘΥΝΣΗ ΔΙΕΘΝΩΝ</w:t>
      </w:r>
    </w:p>
    <w:p>
      <w:pPr>
        <w:pStyle w:val="PreambelText"/>
        <w:spacing w:before="240" w:after="240"/>
        <w:rPr>
          <w:lang w:val="el" w:eastAsia="el"/>
        </w:rPr>
      </w:pPr>
      <w:r>
        <w:rPr>
          <w:b/>
          <w:bCs/>
          <w:lang w:val="el" w:eastAsia="el"/>
        </w:rPr>
        <w:t>ΦΟΡΟΛΟΓΙΚΩΝ ΣΧΕΣΕΩΝ (Δ.Δ.ΦΟ.Σ.) ΤΜΗΜΑ Β’ – ΔΙΕΘΝΟΥΣ ΔΙΟΙΚΗΤΙΚΗΣ ΣΥΝΕΡΓΑΣΙΑΣ ΣΤΟΝ ΤΟΜΕΑ ΤΗΣ ΦΟΡΟΛΟΓΙΑΣ</w:t>
      </w:r>
    </w:p>
    <w:p>
      <w:pPr>
        <w:pStyle w:val="PreambelText"/>
        <w:spacing w:before="240" w:after="240"/>
        <w:rPr>
          <w:lang w:val="el" w:eastAsia="el"/>
        </w:rPr>
      </w:pPr>
      <w:r>
        <w:rPr>
          <w:b/>
          <w:bCs/>
          <w:lang w:val="el" w:eastAsia="el"/>
        </w:rPr>
        <w:t>Ταχ. Δ/νση : Καρ.Σερβίας 8</w:t>
      </w:r>
    </w:p>
    <w:p>
      <w:pPr>
        <w:pStyle w:val="PreambelText"/>
        <w:spacing w:before="240" w:after="240"/>
        <w:rPr>
          <w:lang w:val="el" w:eastAsia="el"/>
        </w:rPr>
      </w:pPr>
      <w:r>
        <w:rPr>
          <w:b/>
          <w:bCs/>
          <w:lang w:val="el" w:eastAsia="el"/>
        </w:rPr>
        <w:t>Ταχ. Κώδικας : 10184 Αθήνα</w:t>
      </w:r>
    </w:p>
    <w:p>
      <w:pPr>
        <w:pStyle w:val="PreambelText"/>
        <w:spacing w:before="240" w:after="240"/>
        <w:rPr>
          <w:lang w:val="el" w:eastAsia="el"/>
        </w:rPr>
      </w:pPr>
      <w:r>
        <w:rPr>
          <w:b/>
          <w:bCs/>
          <w:lang w:val="el" w:eastAsia="el"/>
        </w:rPr>
        <w:t>Τηλέφωνο : 2103375857</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dos.c@aade.gr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ΙΙ. 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ΝΟΜΙΚΩΝ ΠΡΟΣΩΠΩΝ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210 - 33 75 311</w:t>
      </w:r>
    </w:p>
    <w:p>
      <w:pPr>
        <w:spacing w:before="240" w:after="240"/>
        <w:rPr>
          <w:lang w:val="el" w:eastAsia="el"/>
        </w:rPr>
      </w:pPr>
      <w:hyperlink r:id="rId6" w:history="1">
        <w:r>
          <w:rPr>
            <w:rStyle w:val="Hyperlink"/>
            <w:b/>
            <w:bCs/>
            <w:color w:val="0000EE"/>
            <w:u w:color="0000EE"/>
            <w:lang w:val="el" w:eastAsia="el"/>
          </w:rPr>
          <w:t>deaf@aade.gr</w:t>
        </w:r>
      </w:hyperlink>
    </w:p>
    <w:p>
      <w:pPr>
        <w:spacing w:before="240" w:after="240"/>
        <w:rPr>
          <w:lang w:val="el" w:eastAsia="el"/>
        </w:rPr>
      </w:pPr>
      <w:hyperlink r:id="rId7" w:history="1">
        <w:r>
          <w:rPr>
            <w:rStyle w:val="Hyperlink"/>
            <w:b/>
            <w:bCs/>
            <w:color w:val="0000EE"/>
            <w:u w:color="0000EE"/>
            <w:lang w:val="el" w:eastAsia="el"/>
          </w:rPr>
          <w:t xml:space="preserve">www </w:t>
        </w:r>
        <w:r>
          <w:rPr>
            <w:rStyle w:val="Hyperlink"/>
            <w:b/>
            <w:bCs/>
            <w:color w:val="0000EE"/>
            <w:u w:color="0000EE"/>
            <w:lang w:val="el" w:eastAsia="el"/>
          </w:rPr>
          <w:t xml:space="preserve">. </w:t>
        </w:r>
        <w:r>
          <w:rPr>
            <w:rStyle w:val="Hyperlink"/>
            <w:b/>
            <w:bCs/>
            <w:color w:val="0000EE"/>
            <w:u w:color="0000EE"/>
            <w:lang w:val="el" w:eastAsia="el"/>
          </w:rPr>
          <w:t>aade .gr</w:t>
        </w:r>
      </w:hyperlink>
    </w:p>
    <w:p>
      <w:pPr>
        <w:spacing w:before="240" w:after="240"/>
        <w:rPr>
          <w:lang w:val="el" w:eastAsia="el"/>
        </w:rPr>
      </w:pPr>
      <w:r>
        <w:rPr>
          <w:b/>
          <w:bCs/>
          <w:lang w:val="el" w:eastAsia="el"/>
        </w:rPr>
        <w:t>Θέμα: Καθορισμός των μη συνεργάσιμων κρατών για το φορολογικό έτος 2022 δυνάμει της εξουσιοδοτικής διάταξης της παρ. 4 και των κριτηρίων της παρ.3 σε συνδυασμό με τις παρ.1, 2, 4 και 5 του άρθρου 65 του ν.4172/2013 ( Α΄167).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ΚΑΙ O ΥΦΥΠΟΥΡΓΟΣ ΕΘΝΙΚΗΣ ΟΙΚΟΝΟΜΙΑΣ ΚΑΙ ΟΙΚΟΝΟΜΙΚΩΝ 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παραγράφου 4 του άρθρου 65 του ν. 4172/2013 (Α΄167) « Φορολογία εισοδήματος, επείγοντα μέτρα εφαρμογής του ν. 4046/2012 του ν. 4093/2012 και του ν. 4127/2013» σε συνδυασμό με τις παρ. 1, 2, 3 και 5 του ίδιου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29 της Σύμβασης του Συμβουλίου της Ευρώπης και του ΟΟΣΑ σχετικά με την Αμοιβαία Διοικητική Συνδρομή σε Φορολογικά Θέματα (Σύμβαση) αναφορικά με την εδαφική εφαρμογή και επέκτασή της με δηλώσεις που κατατίθενται σε έναν από τους δύο θεματοφύλακες από τα προσχωρήσαντα Κράτη στη Σύμβαση σε συνδυασμό με τις διατάξεις των παρ. 1, 2, 3, 4 και 5 του άρθρου 28 της ίδιας Σύμβασης σχετικά με την αμοιβαία διοικητική συνδρομή σε φορολογικά θέματα, όπως τροποποιήθηκε με το από 2010 Πρωτόκολλο Τροποποίησής της και κυρώθηκε με τις διατάξεις του άρθρου πρώτου του ν. 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ν.4389/2016 (Α΄94) «Επείγουσες διατάξεις για την εφαρμογή της συμφωνίας δημοσιονομικών στόχων και διαρθρωτικών μεταρρυθμίσεων και άλλες διατάξεις» και ιδίως του άρθρου 14.</w:t>
      </w:r>
    </w:p>
    <w:p>
      <w:pPr>
        <w:spacing w:before="240" w:after="240"/>
        <w:rPr>
          <w:lang w:val="el" w:eastAsia="el"/>
        </w:rPr>
      </w:pPr>
      <w:r>
        <w:rPr>
          <w:b/>
          <w:bCs/>
          <w:lang w:val="el" w:eastAsia="el"/>
        </w:rPr>
        <w:t xml:space="preserve">2. </w:t>
      </w:r>
      <w:r>
        <w:rPr>
          <w:b/>
          <w:bCs/>
          <w:lang w:val="el" w:eastAsia="el"/>
        </w:rPr>
        <w:t>α) Τις διατάξεις του π.δ.77/27.06.2023 (Α΄130) «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του π.δ. 82/2023 (Α΄139) « Μετονομασία Υπουργείου- Σύσταση και μετονομασία Γενικών Γραμματειών – Μεταφορά αρμοδιοτήτων, υπηρεσιακών μονάδων και θέσεων προσωπικού- τροποποίηση και συμπλήρωση του π.δ. 77/2023 (α΄130)- Μεταβατικές διατάξεις».</w:t>
      </w:r>
    </w:p>
    <w:p>
      <w:pPr>
        <w:spacing w:before="240" w:after="240"/>
        <w:rPr>
          <w:lang w:val="el" w:eastAsia="el"/>
        </w:rPr>
      </w:pPr>
      <w:r>
        <w:rPr>
          <w:b/>
          <w:bCs/>
          <w:lang w:val="el" w:eastAsia="el"/>
        </w:rPr>
        <w:t xml:space="preserve">3. </w:t>
      </w:r>
      <w:r>
        <w:rPr>
          <w:b/>
          <w:bCs/>
          <w:lang w:val="el" w:eastAsia="el"/>
        </w:rPr>
        <w:t>Τις διατάξεις του π.δ. 79/27.06.2023 (Α΄131) «Διορισμός Υπουργών, Αναπληρωτών Υπουργών και Υφυπουργών».</w:t>
      </w:r>
    </w:p>
    <w:p>
      <w:pPr>
        <w:spacing w:before="240" w:after="240"/>
        <w:rPr>
          <w:lang w:val="el" w:eastAsia="el"/>
        </w:rPr>
      </w:pPr>
      <w:r>
        <w:rPr>
          <w:b/>
          <w:bCs/>
          <w:lang w:val="el" w:eastAsia="el"/>
        </w:rPr>
        <w:t xml:space="preserve">4. </w:t>
      </w:r>
      <w:r>
        <w:rPr>
          <w:b/>
          <w:bCs/>
          <w:lang w:val="el" w:eastAsia="el"/>
        </w:rPr>
        <w:t>Την υπό στοιχεία 102916 ΕΞ 2023/10.07.2023 κοινή Απόφαση του Πρωθυπουργού και του Υπουργού Οικονομικών ( Β΄4441) «Ανάθεση αρμοδιοτήτων στον Υφυπουργό Οικονομικών Θεοχάρη Θεοχάρη».</w:t>
      </w:r>
    </w:p>
    <w:p>
      <w:pPr>
        <w:spacing w:before="240" w:after="240"/>
        <w:rPr>
          <w:lang w:val="el" w:eastAsia="el"/>
        </w:rPr>
      </w:pPr>
      <w:r>
        <w:rPr>
          <w:b/>
          <w:bCs/>
          <w:lang w:val="el" w:eastAsia="el"/>
        </w:rPr>
        <w:t xml:space="preserve">5. </w:t>
      </w:r>
      <w:r>
        <w:rPr>
          <w:b/>
          <w:bCs/>
          <w:lang w:val="el" w:eastAsia="el"/>
        </w:rPr>
        <w:t>Τις διατάξεις του π.δ. 142/2017 (Α΄181) « Οργανισμός του Υπουργείου Οικονομικών».</w:t>
      </w:r>
    </w:p>
    <w:p>
      <w:pPr>
        <w:spacing w:before="240" w:after="240"/>
        <w:rPr>
          <w:lang w:val="el" w:eastAsia="el"/>
        </w:rPr>
      </w:pPr>
      <w:r>
        <w:rPr>
          <w:b/>
          <w:bCs/>
          <w:lang w:val="el" w:eastAsia="el"/>
        </w:rPr>
        <w:t xml:space="preserve">6. </w:t>
      </w:r>
      <w:r>
        <w:rPr>
          <w:b/>
          <w:bCs/>
          <w:lang w:val="el" w:eastAsia="el"/>
        </w:rPr>
        <w:t>Την υπό στοιχεία Δ. ΟΡΓ. Α 1125859 ΕΞ 2020/23-10-2020 ( Β΄4738) απόφαση του Διοικητή της ΑΑΔΕ «Οργανισμός της Ανεξάρτητης Αρχής Δημοσίων Εσόδων (Α.Α.Δ.Ε.)»</w:t>
      </w:r>
    </w:p>
    <w:p>
      <w:pPr>
        <w:spacing w:before="240" w:after="240"/>
        <w:rPr>
          <w:lang w:val="el" w:eastAsia="el"/>
        </w:rPr>
      </w:pPr>
      <w:r>
        <w:rPr>
          <w:b/>
          <w:bCs/>
          <w:lang w:val="el" w:eastAsia="el"/>
        </w:rPr>
        <w:t xml:space="preserve">7. </w:t>
      </w:r>
      <w:r>
        <w:rPr>
          <w:b/>
          <w:bCs/>
          <w:lang w:val="el" w:eastAsia="el"/>
        </w:rPr>
        <w:t>Την υπό στοιχεία Δ6Α 1015213 ΕΞ 2013/28.1.2013 (Β' 130 και Β' 372) υπουργική απόφαση «Μεταβίβαση αρμοδιοτήτων στον Γενικό Γραμματέα της Γενικής Γραμματείας</w:t>
      </w:r>
    </w:p>
    <w:p>
      <w:pPr>
        <w:spacing w:before="240" w:after="240"/>
        <w:rPr>
          <w:lang w:val="el" w:eastAsia="el"/>
        </w:rPr>
      </w:pPr>
      <w:r>
        <w:rPr>
          <w:b/>
          <w:bCs/>
          <w:lang w:val="el" w:eastAsia="el"/>
        </w:rPr>
        <w:t>Δημοσίων Εσόδων του Υπουργείου Οικονομικών» και την υπό στοιχεία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σε συνδυασμό με τις διατάξεις της υποπαρ. α' της παρ. 3 του άρθρου 41 του ν. 4389/2016.</w:t>
      </w:r>
    </w:p>
    <w:p>
      <w:pPr>
        <w:spacing w:before="240" w:after="240"/>
        <w:rPr>
          <w:lang w:val="el" w:eastAsia="el"/>
        </w:rPr>
      </w:pPr>
      <w:r>
        <w:rPr>
          <w:b/>
          <w:bCs/>
          <w:lang w:val="el" w:eastAsia="el"/>
        </w:rPr>
        <w:t xml:space="preserve">8.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απόφαση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9. </w:t>
      </w:r>
      <w:r>
        <w:rPr>
          <w:b/>
          <w:bCs/>
          <w:lang w:val="el" w:eastAsia="el"/>
        </w:rPr>
        <w:t xml:space="preserve">Τα μέλη του Παγκόσμιου Φόρουμ για την Διαφάνεια και την Ανταλλαγή Πληροφοριών για Φορολογικούς Σκοπούς του ΟΟΣΑ </w:t>
      </w:r>
      <w:r>
        <w:rPr>
          <w:b/>
          <w:bCs/>
          <w:i/>
          <w:iCs/>
          <w:lang w:val="el" w:eastAsia="el"/>
        </w:rPr>
        <w:t>(Global Forum on Transparency and Exchange of Information for Tax Purposes</w:t>
      </w:r>
      <w:r>
        <w:rPr>
          <w:b/>
          <w:bCs/>
          <w:lang w:val="el" w:eastAsia="el"/>
        </w:rPr>
        <w:t xml:space="preserve"> βλ.</w:t>
      </w:r>
      <w:hyperlink r:id="rId8" w:history="1">
        <w:r>
          <w:rPr>
            <w:rStyle w:val="Hyperlink"/>
            <w:b/>
            <w:bCs/>
            <w:color w:val="0000EE"/>
            <w:u w:color="0000EE"/>
            <w:lang w:val="el" w:eastAsia="el"/>
          </w:rPr>
          <w:t>http://www.oecd.org/tax/transparency/about-the-global-</w:t>
        </w:r>
      </w:hyperlink>
      <w:hyperlink r:id="rId9" w:history="1">
        <w:r>
          <w:rPr>
            <w:rStyle w:val="Hyperlink"/>
            <w:b/>
            <w:bCs/>
            <w:color w:val="0000EE"/>
            <w:u w:color="0000EE"/>
            <w:lang w:val="el" w:eastAsia="el"/>
          </w:rPr>
          <w:t>forum/members/</w:t>
        </w:r>
        <w:r>
          <w:rPr>
            <w:rStyle w:val="Hyperlink"/>
            <w:b/>
            <w:bCs/>
            <w:color w:val="0000EE"/>
            <w:u w:color="0000EE"/>
            <w:lang w:val="el" w:eastAsia="el"/>
          </w:rPr>
          <w:t>)</w:t>
        </w:r>
      </w:hyperlink>
      <w:r>
        <w:rPr>
          <w:b/>
          <w:bCs/>
          <w:u w:val="single"/>
          <w:lang w:val="el" w:eastAsia="el"/>
        </w:rPr>
        <w:t xml:space="preserve">, σε συνδυασμό με την Έκθεση του Παγκόσμιου Φόρουμ </w:t>
      </w:r>
      <w:r>
        <w:rPr>
          <w:b/>
          <w:bCs/>
          <w:i/>
          <w:iCs/>
          <w:u w:val="single"/>
          <w:lang w:val="el" w:eastAsia="el"/>
        </w:rPr>
        <w:t>(Global Forum on Transparency and Exchange of Information for Tax Purposes/ Exchange of Information on Request/Ratings</w:t>
      </w:r>
      <w:r>
        <w:rPr>
          <w:b/>
          <w:bCs/>
          <w:u w:val="single"/>
          <w:lang w:val="el" w:eastAsia="el"/>
        </w:rPr>
        <w:t xml:space="preserve"> βλ</w:t>
      </w:r>
      <w:hyperlink r:id="rId10" w:history="1">
        <w:r>
          <w:rPr>
            <w:rStyle w:val="Hyperlink"/>
            <w:b/>
            <w:bCs/>
            <w:color w:val="0000EE"/>
            <w:u w:color="0000EE"/>
            <w:lang w:val="el" w:eastAsia="el"/>
          </w:rPr>
          <w:t xml:space="preserve">. </w:t>
        </w:r>
        <w:r>
          <w:rPr>
            <w:rStyle w:val="Hyperlink"/>
            <w:b/>
            <w:bCs/>
            <w:color w:val="0000EE"/>
            <w:u w:color="0000EE"/>
            <w:lang w:val="el" w:eastAsia="el"/>
          </w:rPr>
          <w:t>http :// www .oecd .org / tax/ transparency/ exchanget-of-information-on/</w:t>
        </w:r>
      </w:hyperlink>
      <w:hyperlink r:id="rId11" w:history="1">
        <w:r>
          <w:rPr>
            <w:rStyle w:val="Hyperlink"/>
            <w:b/>
            <w:bCs/>
            <w:color w:val="0000EE"/>
            <w:u w:color="0000EE"/>
            <w:lang w:val="el" w:eastAsia="el"/>
          </w:rPr>
          <w:t>request/ ratings/</w:t>
        </w:r>
        <w:r>
          <w:rPr>
            <w:rStyle w:val="Hyperlink"/>
            <w:b/>
            <w:bCs/>
            <w:color w:val="0000EE"/>
            <w:u w:color="0000EE"/>
            <w:lang w:val="el" w:eastAsia="el"/>
          </w:rPr>
          <w:t>)</w:t>
        </w:r>
      </w:hyperlink>
      <w:r>
        <w:rPr>
          <w:b/>
          <w:bCs/>
          <w:u w:val="single"/>
          <w:lang w:val="el" w:eastAsia="el"/>
        </w:rPr>
        <w:t xml:space="preserve"> στην οποία αποτυπώνεται η συνολική βαθμολογία των μελών του με βάση τις ενδιάμεσες αξιολογήσεις (Peer Reviews) αναφορικά με το πρότυπο της κατόπιν αιτήματος ανταλλαγής πληροφοριών.</w:t>
      </w:r>
    </w:p>
    <w:p>
      <w:pPr>
        <w:spacing w:before="240" w:after="240"/>
        <w:rPr>
          <w:lang w:val="el" w:eastAsia="el"/>
        </w:rPr>
      </w:pPr>
      <w:r>
        <w:rPr>
          <w:b/>
          <w:bCs/>
          <w:u w:val="single"/>
          <w:lang w:val="el" w:eastAsia="el"/>
        </w:rPr>
        <w:t xml:space="preserve">10. </w:t>
      </w:r>
      <w:r>
        <w:rPr>
          <w:b/>
          <w:bCs/>
          <w:u w:val="single"/>
          <w:lang w:val="el" w:eastAsia="el"/>
        </w:rPr>
        <w:t>Τον από 22.03.23 κατάλογο της Γραμματείας Συντονιστικού Οργάνου της Σύμβασης σχετικά με το καθεστώς των δικαιοδοσιών που έχουν υπογράψει τη Σύμβαση ως προς την ημερομηνία έναρξης ισχύος της (</w:t>
      </w:r>
      <w:r>
        <w:rPr>
          <w:b/>
          <w:bCs/>
          <w:i/>
          <w:iCs/>
          <w:u w:val="single"/>
          <w:lang w:val="el" w:eastAsia="el"/>
        </w:rPr>
        <w:t>«Jurisdictions Participating in the Convention on Mutual Administrative Assistance in Tax Matters»</w:t>
      </w:r>
      <w:r>
        <w:rPr>
          <w:b/>
          <w:bCs/>
          <w:u w:val="single"/>
          <w:lang w:val="el" w:eastAsia="el"/>
        </w:rPr>
        <w:t xml:space="preserve"> βλ.</w:t>
      </w:r>
      <w:hyperlink r:id="rId12" w:history="1">
        <w:r>
          <w:rPr>
            <w:rStyle w:val="Hyperlink"/>
            <w:b/>
            <w:bCs/>
            <w:color w:val="0000EE"/>
            <w:u w:color="0000EE"/>
            <w:lang w:val="el" w:eastAsia="el"/>
          </w:rPr>
          <w:t>https:// www .oecd .org / tax/ exchange -of-tax-</w:t>
        </w:r>
      </w:hyperlink>
      <w:hyperlink r:id="rId13" w:history="1">
        <w:r>
          <w:rPr>
            <w:rStyle w:val="Hyperlink"/>
            <w:b/>
            <w:bCs/>
            <w:color w:val="0000EE"/>
            <w:u w:color="0000EE"/>
            <w:lang w:val="el" w:eastAsia="el"/>
          </w:rPr>
          <w:t>information / Status of convention.pdf</w:t>
        </w:r>
        <w:r>
          <w:rPr>
            <w:rStyle w:val="Hyperlink"/>
            <w:b/>
            <w:bCs/>
            <w:color w:val="0000EE"/>
            <w:u w:color="0000EE"/>
            <w:lang w:val="el" w:eastAsia="el"/>
          </w:rPr>
          <w:t>)</w:t>
        </w:r>
      </w:hyperlink>
      <w:r>
        <w:rPr>
          <w:b/>
          <w:bCs/>
          <w:u w:val="single"/>
          <w:lang w:val="el" w:eastAsia="el"/>
        </w:rPr>
        <w:t>.</w:t>
      </w:r>
    </w:p>
    <w:p>
      <w:pPr>
        <w:spacing w:before="240" w:after="240"/>
        <w:rPr>
          <w:lang w:val="el" w:eastAsia="el"/>
        </w:rPr>
      </w:pPr>
      <w:r>
        <w:rPr>
          <w:b/>
          <w:bCs/>
          <w:u w:val="single"/>
          <w:lang w:val="el" w:eastAsia="el"/>
        </w:rPr>
        <w:t xml:space="preserve">11. </w:t>
      </w:r>
      <w:r>
        <w:rPr>
          <w:b/>
          <w:bCs/>
          <w:u w:val="single"/>
          <w:lang w:val="el" w:eastAsia="el"/>
        </w:rPr>
        <w:t>Την υπό στοιχεία ΔΔΦΟΣ Β 1126685 ΕΞ 2023 εισήγηση του Διοικητή της Α.Α.Δ.Ε. στον Υπουργό Οικονομικών δυνάμει της περ. γ΄ της παρ.2 του άρθρου 14 του ν. 4389/2016.</w:t>
      </w:r>
    </w:p>
    <w:p>
      <w:pPr>
        <w:spacing w:before="240" w:after="240"/>
        <w:rPr>
          <w:lang w:val="el" w:eastAsia="el"/>
        </w:rPr>
      </w:pPr>
      <w:r>
        <w:rPr>
          <w:b/>
          <w:bCs/>
          <w:u w:val="single"/>
          <w:lang w:val="el" w:eastAsia="el"/>
        </w:rPr>
        <w:t xml:space="preserve">12. </w:t>
      </w:r>
      <w:r>
        <w:rPr>
          <w:b/>
          <w:bCs/>
          <w:u w:val="single"/>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 xml:space="preserve">1. </w:t>
      </w:r>
      <w:r>
        <w:rPr>
          <w:b/>
          <w:bCs/>
          <w:u w:val="single"/>
          <w:lang w:val="el" w:eastAsia="el"/>
        </w:rPr>
        <w:t>Τα μη συνεργάσιμα κράτη στον φορολογικό τομέα κατά την έννοια της παρ. 1 του άρθρου 65 του ν.4172/2013, δηλαδή κράτη ή περιοχές δικαιοδοσίας ή υπερπόντιες χώρες ή εδάφη που τελούν υπό οποιοδήποτε ειδικό καθεστώς σύνδεσης ή εξάρτησης, για το φορολογικό έτος 2022,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664"/>
        <w:gridCol w:w="16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4499"/>
        <w:gridCol w:w="33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Μαρτίνος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Sint Maarten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Αϊτή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Haiti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Ακτή Ελεφαντοστού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Cote d’ Ivoire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Algeria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Angola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Anguilla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Antigua and Barbuda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Vanuatu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του Λεσότο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Kingdom of Lesotho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Βιετνάμ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Vietnam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British Virgin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Gabon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Ghana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Γουϊάνα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Guyana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Γουϊνέα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Guinea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Γουατεμάλα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Guatemala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Kazahstan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Καμπότζη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Cambodia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Κονγκό (Δημοκρατία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Congo (Rep. of)</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Λευκορωσία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Belarus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Λιβερία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Liberia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Μαδαγασκάρη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Madagascar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Μαυριτανία ( έως 31.07.2022)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Mauritania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Μπενίν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Benin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Μποτσουάνα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Botswana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Μπουρκίνα Φάσο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Burkina Faso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Νίγηρας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Niger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Νικαράγουα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Nicaragua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Dominica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Ονδούρα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Honduras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Παλάου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Palau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Panama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Παπούα Νέα Γουϊνέα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Papua New Guinea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Ρουάντα (έως 30.11.2022)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Rwanda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Seychelles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Ταϋλάνδη (έως 31.03.2022)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Thailand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Τανζανία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Tanzania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Togo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Τρινιδάδ και Τομπάγκο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Trinidad and Tobago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Τζιμπουτί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Djibouti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Τσάντ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Chad</w:t>
            </w:r>
          </w:p>
        </w:tc>
      </w:tr>
    </w:tbl>
    <w:p>
      <w:pPr>
        <w:spacing w:before="240" w:after="240"/>
        <w:rPr>
          <w:lang w:val="el" w:eastAsia="el"/>
        </w:rPr>
      </w:pPr>
      <w:r>
        <w:rPr>
          <w:b/>
          <w:bCs/>
          <w:u w:val="single"/>
          <w:lang w:val="el" w:eastAsia="el"/>
        </w:rPr>
        <w:t xml:space="preserve">2. </w:t>
      </w:r>
      <w:r>
        <w:rPr>
          <w:b/>
          <w:bCs/>
          <w:u w:val="single"/>
          <w:lang w:val="el" w:eastAsia="el"/>
        </w:rPr>
        <w:t>Από τον συνδυασμό των διατάξεων των παραγράφων 1, 2, 3, 4 και 5 του άρθρου 65 του ν.4172/2013 και του ν.4153/2013, καθώς και της κατάθεσης στο Θεματοφύλακα της Πολυμερούς Σύμβασης Συμβουλίου της Ευρώπης και του ΟΟΣΑ για τη Διοικητική Συνδρομή σε Φορολογικά Θέματα (</w:t>
      </w:r>
      <w:r>
        <w:rPr>
          <w:b/>
          <w:bCs/>
          <w:i/>
          <w:iCs/>
          <w:u w:val="single"/>
          <w:lang w:val="el" w:eastAsia="el"/>
        </w:rPr>
        <w:t>Convention on Mutual Administrative Assistance in Tax Matters/MAC),</w:t>
      </w:r>
      <w:r>
        <w:rPr>
          <w:b/>
          <w:bCs/>
          <w:u w:val="single"/>
          <w:lang w:val="el" w:eastAsia="el"/>
        </w:rPr>
        <w:t xml:space="preserve"> μη συνεργάσιμα κράτη (κράτη ή περιοχές δικαιοδοσίας ή υπερπόντιες χώρες ή εδάφη που τελούν υπό οποιοδήποτε ειδικό καθεστώς σύνδεσης ή εξάρτησης) είναι, αναφορικά με το διάστημα που περιλαμβάνεται στον ακόλουθο πίνακα,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2209"/>
        <w:gridCol w:w="2141"/>
        <w:gridCol w:w="44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Διάστημα εντός του 2022 κατά το οποίο είναι μη συνεργάσιμο κράτος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Μαυριτανία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Mauritania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1.1.2022 – 31.07.22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Ρουάντα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Rwanda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1.1.2022- 30.11.22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Ταϋλάνδη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Thailand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1.1.2022 - 31.03.22</w:t>
            </w:r>
          </w:p>
        </w:tc>
      </w:tr>
    </w:tbl>
    <w:p>
      <w:pPr>
        <w:spacing w:before="240" w:after="240"/>
        <w:rPr>
          <w:lang w:val="el" w:eastAsia="el"/>
        </w:rPr>
      </w:pPr>
      <w:r>
        <w:rPr>
          <w:b/>
          <w:bCs/>
          <w:u w:val="single"/>
          <w:lang w:val="el" w:eastAsia="el"/>
        </w:rPr>
        <w:t>3. 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Εθνικό Τυπογραφείο</w:t>
      </w:r>
    </w:p>
    <w:p>
      <w:pPr>
        <w:spacing w:before="240" w:after="240"/>
        <w:rPr>
          <w:lang w:val="el" w:eastAsia="el"/>
        </w:rPr>
      </w:pPr>
      <w:r>
        <w:rPr>
          <w:b/>
          <w:bCs/>
          <w:u w:val="single"/>
          <w:lang w:val="el" w:eastAsia="el"/>
        </w:rPr>
        <w:t>(στην ηλεκτρονική διεύθυνση “webmaster.et@et.gr”), για δημοσίευση της απόφασης</w:t>
      </w:r>
    </w:p>
    <w:p>
      <w:pPr>
        <w:spacing w:before="240" w:after="240"/>
        <w:rPr>
          <w:lang w:val="el" w:eastAsia="el"/>
        </w:rPr>
      </w:pPr>
      <w:r>
        <w:rPr>
          <w:b/>
          <w:bCs/>
          <w:u w:val="single"/>
          <w:lang w:val="el" w:eastAsia="el"/>
        </w:rPr>
        <w:t xml:space="preserve">2. </w:t>
      </w:r>
      <w:r>
        <w:rPr>
          <w:b/>
          <w:bCs/>
          <w:u w:val="single"/>
          <w:lang w:val="el" w:eastAsia="el"/>
        </w:rPr>
        <w:t>Διεύθυνση Υπηρεσιών Δεδομένων (Δ.ΥΠΗ.ΔΕΔ)</w:t>
      </w:r>
    </w:p>
    <w:p>
      <w:pPr>
        <w:spacing w:before="240" w:after="240"/>
        <w:rPr>
          <w:lang w:val="el" w:eastAsia="el"/>
        </w:rPr>
      </w:pPr>
      <w:r>
        <w:rPr>
          <w:b/>
          <w:bCs/>
          <w:u w:val="single"/>
          <w:lang w:val="el" w:eastAsia="el"/>
        </w:rPr>
        <w:t xml:space="preserve">3. </w:t>
      </w:r>
      <w:r>
        <w:rPr>
          <w:b/>
          <w:bCs/>
          <w:u w:val="single"/>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Υπουργείο Εθνικής Οικονομίας και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κ. Υπουργού β) Γραφείο κ. Υφυπουργού γ) Γραφείο Γεν. Γραμματέα Φορολογικής Πολιτικής</w:t>
      </w:r>
    </w:p>
    <w:p>
      <w:pPr>
        <w:spacing w:before="240" w:after="240"/>
        <w:rPr>
          <w:lang w:val="el" w:eastAsia="el"/>
        </w:rPr>
      </w:pPr>
      <w:r>
        <w:rPr>
          <w:b/>
          <w:bCs/>
          <w:u w:val="single"/>
          <w:lang w:val="el" w:eastAsia="el"/>
        </w:rPr>
        <w:t xml:space="preserve">2. </w:t>
      </w:r>
      <w:r>
        <w:rPr>
          <w:b/>
          <w:bCs/>
          <w:u w:val="single"/>
          <w:lang w:val="el" w:eastAsia="el"/>
        </w:rPr>
        <w:t>Αποδέκτες Πίνακα Α’, Β’, Γ’, Ζ’, Η, Θ’ (πλην των 4 - 7, 12, 16, 18-20, 23- 29, 31-37), Ι’, ΙΑ’ (πλην 1 και 3), ΙΒ’, ΙΣΤ’ και ΙΖ’.</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 Διοικητή της ΑΑΔΕ</w:t>
      </w:r>
    </w:p>
    <w:p>
      <w:pPr>
        <w:spacing w:before="240" w:after="240"/>
        <w:rPr>
          <w:lang w:val="el" w:eastAsia="el"/>
        </w:rPr>
      </w:pPr>
      <w:r>
        <w:rPr>
          <w:b/>
          <w:bCs/>
          <w:u w:val="single"/>
          <w:lang w:val="el" w:eastAsia="el"/>
        </w:rPr>
        <w:t xml:space="preserve">2. </w:t>
      </w:r>
      <w:r>
        <w:rPr>
          <w:b/>
          <w:bCs/>
          <w:u w:val="single"/>
          <w:lang w:val="el" w:eastAsia="el"/>
        </w:rPr>
        <w:t>Προϊσταμένους Γενικών Δ/νσεων της ΑΑΔΕ</w:t>
      </w:r>
    </w:p>
    <w:p>
      <w:pPr>
        <w:spacing w:before="240" w:after="240"/>
        <w:rPr>
          <w:lang w:val="el" w:eastAsia="el"/>
        </w:rPr>
      </w:pPr>
      <w:r>
        <w:rPr>
          <w:b/>
          <w:bCs/>
          <w:u w:val="single"/>
          <w:lang w:val="el" w:eastAsia="el"/>
        </w:rPr>
        <w:t xml:space="preserve">3. </w:t>
      </w:r>
      <w:r>
        <w:rPr>
          <w:b/>
          <w:bCs/>
          <w:u w:val="single"/>
          <w:lang w:val="el" w:eastAsia="el"/>
        </w:rPr>
        <w:t>Δ/νση Νομικής Υποστήριξης</w:t>
      </w:r>
    </w:p>
    <w:p>
      <w:pPr>
        <w:spacing w:before="240" w:after="240"/>
        <w:rPr>
          <w:lang w:val="el" w:eastAsia="el"/>
        </w:rPr>
      </w:pPr>
      <w:r>
        <w:rPr>
          <w:b/>
          <w:bCs/>
          <w:u w:val="single"/>
          <w:lang w:val="el" w:eastAsia="el"/>
        </w:rPr>
        <w:t xml:space="preserve">4. </w:t>
      </w:r>
      <w:r>
        <w:rPr>
          <w:b/>
          <w:bCs/>
          <w:u w:val="single"/>
          <w:lang w:val="el" w:eastAsia="el"/>
        </w:rPr>
        <w:t>Δ/νση Διεθνών Φορολογικών Σχέσεων, Τμήματα Α’ και Β΄</w:t>
      </w:r>
    </w:p>
    <w:p>
      <w:pPr>
        <w:spacing w:before="240" w:after="240"/>
        <w:rPr>
          <w:lang w:val="el" w:eastAsia="el"/>
        </w:rPr>
      </w:pPr>
      <w:r>
        <w:rPr>
          <w:b/>
          <w:bCs/>
          <w:u w:val="single"/>
          <w:lang w:val="el" w:eastAsia="el"/>
        </w:rPr>
        <w:t xml:space="preserve">5. </w:t>
      </w:r>
      <w:r>
        <w:rPr>
          <w:b/>
          <w:bCs/>
          <w:u w:val="single"/>
          <w:lang w:val="el" w:eastAsia="el"/>
        </w:rPr>
        <w:t>Δ/νση Εφαρμογής Άμεσης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ecd.org/tax/transparency/exchanget-of-information-on/request/ratings/" TargetMode="External" /><Relationship Id="rId11" Type="http://schemas.openxmlformats.org/officeDocument/2006/relationships/hyperlink" Target="http://www.oecd.org/tax/transparency/exchanget-of-information-on/request/ratings/" TargetMode="External" /><Relationship Id="rId12" Type="http://schemas.openxmlformats.org/officeDocument/2006/relationships/hyperlink" Target="https://www.oecd.org/tax/exchange-of-tax-information/Status_of_convention.pdf" TargetMode="External" /><Relationship Id="rId13" Type="http://schemas.openxmlformats.org/officeDocument/2006/relationships/hyperlink" Target="https://www.oecd.org/tax/exchange-of-tax-information/Status_of_convention.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http://www.aade.gr/" TargetMode="External" /><Relationship Id="rId6" Type="http://schemas.openxmlformats.org/officeDocument/2006/relationships/hyperlink" Target="mailto:deaf@aade.gr" TargetMode="External" /><Relationship Id="rId7" Type="http://schemas.openxmlformats.org/officeDocument/2006/relationships/hyperlink" Target="http://www.aade.gr/" TargetMode="External" /><Relationship Id="rId8" Type="http://schemas.openxmlformats.org/officeDocument/2006/relationships/hyperlink" Target="http://www.oecd.org/tax/transparency/about-the-global-forum/members/" TargetMode="External" /><Relationship Id="rId9" Type="http://schemas.openxmlformats.org/officeDocument/2006/relationships/hyperlink" Target="http://www.oecd.org/tax/transparency/about-the-global-forum/memb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