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Γ.Π. Β1 Β2/53000/11-10-2023</w:t>
      </w:r>
    </w:p>
    <w:p>
      <w:pPr>
        <w:pStyle w:val="Title"/>
        <w:spacing w:before="120" w:after="360"/>
        <w:rPr>
          <w:lang w:val="el" w:eastAsia="el"/>
        </w:rPr>
      </w:pPr>
      <w:r>
        <w:rPr>
          <w:lang w:val="el" w:eastAsia="el"/>
        </w:rPr>
        <w:t>Διαδικασία, όροι και προϋποθέσεις συμψηφισμού αυτόματης επιστροφής clawback με ποσοστά επί των δαπανών έρευνας και ανάπτυξης και των δαπανών επενδυτικών σχεδίων ανάπτυξης προϊόντων ή υπηρεσιών ή γραμμών παραγωγής περιόδου 2024-2025</w:t>
      </w:r>
    </w:p>
    <w:p>
      <w:pPr>
        <w:pStyle w:val="PreambelText"/>
        <w:spacing w:before="240" w:after="240"/>
        <w:rPr>
          <w:lang w:val="el" w:eastAsia="el"/>
        </w:rPr>
      </w:pPr>
      <w:r>
        <w:rPr>
          <w:b/>
          <w:bCs/>
          <w:lang w:val="el" w:eastAsia="el"/>
        </w:rPr>
        <w:t>Αριθμ. Γ.Π. B1 Β2/53000/2023</w:t>
      </w:r>
    </w:p>
    <w:p>
      <w:pPr>
        <w:pStyle w:val="PreambelText"/>
        <w:spacing w:before="240" w:after="240"/>
        <w:rPr>
          <w:lang w:val="el" w:eastAsia="el"/>
        </w:rPr>
      </w:pPr>
      <w:r>
        <w:rPr>
          <w:lang w:val="el" w:eastAsia="el"/>
        </w:rPr>
        <w:t>(ΦΕΚ Β' 6120/23-10-2023)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ΟΙΚΟΝΟΜΙΚΩΝ-ΥΓΕΙΑΣ-ΑΝΑΠΤΥΞΗΣ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τροποποιήθηκε με τον ν. 4712/2020 (Α’ 146)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w:t>
      </w:r>
    </w:p>
    <w:p>
      <w:pPr>
        <w:pStyle w:val="StructureList1"/>
        <w:spacing w:before="120" w:after="0"/>
        <w:rPr>
          <w:lang w:val="el" w:eastAsia="el"/>
        </w:rPr>
      </w:pPr>
      <w:r>
        <w:rPr>
          <w:lang w:val="el" w:eastAsia="el"/>
        </w:rPr>
        <w:t>ε)</w:t>
      </w:r>
      <w:r>
        <w:rPr>
          <w:lang w:val="en" w:eastAsia="en"/>
        </w:rPr>
        <w:tab/>
      </w:r>
      <w:r>
        <w:rPr>
          <w:lang w:val="el" w:eastAsia="el"/>
        </w:rPr>
        <w:t>του Π.Δ.79/2023 «Διορισμός Υπουργών, Αναπληρωτών Υπουργών και Υφυπουργών» (Α’ 131),.</w:t>
      </w:r>
    </w:p>
    <w:p>
      <w:pPr>
        <w:pStyle w:val="StructureList1"/>
        <w:spacing w:before="120" w:after="0"/>
        <w:rPr>
          <w:lang w:val="el" w:eastAsia="el"/>
        </w:rPr>
      </w:pPr>
      <w:r>
        <w:rPr>
          <w:lang w:val="el" w:eastAsia="el"/>
        </w:rPr>
        <w:t>στ)</w:t>
      </w:r>
      <w:r>
        <w:rPr>
          <w:lang w:val="en" w:eastAsia="en"/>
        </w:rPr>
        <w:tab/>
      </w:r>
      <w:r>
        <w:rPr>
          <w:lang w:val="el" w:eastAsia="el"/>
        </w:rPr>
        <w:t>του Π.Δ.82/2023 «Μετονομασία Υπουργείου-Σύσταση και μετονομασία Γενικών Γραμματειών Μεταφορά αρμοδιοτήτων, υπηρεσιακών μονάδων και θέσεων προσωπικού Τροποποίηση και συμπλήρωση του Π.Δ.77/2023 (Α’ 130) Μεταβατικές διατάξεις» (Α’ 139),</w:t>
      </w:r>
    </w:p>
    <w:p>
      <w:pPr>
        <w:pStyle w:val="StructureList1"/>
        <w:spacing w:before="120" w:after="0"/>
        <w:rPr>
          <w:lang w:val="el" w:eastAsia="el"/>
        </w:rPr>
      </w:pPr>
      <w:r>
        <w:rPr>
          <w:lang w:val="el" w:eastAsia="el"/>
        </w:rPr>
        <w:t>ζ)</w:t>
      </w:r>
      <w:r>
        <w:rPr>
          <w:lang w:val="en" w:eastAsia="en"/>
        </w:rPr>
        <w:tab/>
      </w:r>
      <w:r>
        <w:rPr>
          <w:lang w:val="el" w:eastAsia="el"/>
        </w:rPr>
        <w:t>του Π.Δ.121/2017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(Π.Δ.63/2005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w:t>
      </w:r>
    </w:p>
    <w:p>
      <w:pPr>
        <w:pStyle w:val="StructureList1"/>
        <w:spacing w:before="120" w:after="0"/>
        <w:rPr>
          <w:lang w:val="el" w:eastAsia="el"/>
        </w:rPr>
      </w:pPr>
      <w:r>
        <w:rPr>
          <w:lang w:val="el" w:eastAsia="el"/>
        </w:rPr>
        <w:t>ι)</w:t>
      </w:r>
      <w:r>
        <w:rPr>
          <w:lang w:val="en" w:eastAsia="en"/>
        </w:rPr>
        <w:tab/>
      </w:r>
      <w:r>
        <w:rPr>
          <w:lang w:val="el" w:eastAsia="el"/>
        </w:rPr>
        <w:t>της υπό στοιχεία Υ12/08.07.2023 απόφασης του Πρωθυπουργού «Ανάθεση αρμοδιοτήτων στον Αναπληρωτή Υπουργό Οικονομικών, Νικόλαο Παπαθανάση»(Β’ 4403).</w:t>
      </w:r>
    </w:p>
    <w:p>
      <w:pPr>
        <w:pStyle w:val="PreambelText"/>
        <w:spacing w:before="240" w:after="240"/>
        <w:rPr>
          <w:lang w:val="el" w:eastAsia="el"/>
        </w:rPr>
      </w:pPr>
      <w:r>
        <w:rPr>
          <w:lang w:val="el" w:eastAsia="el"/>
        </w:rPr>
        <w:t>2. Τον υπ’ αρ. 2021/241 Κανονισμό (ΕΕ)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 Τον υπ’ αρ. 651/2014 Κανονισμό (ΕΕ)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(«Γενικός Απαλλακτικός Κανονισμός»), όπως ισχύει (O.J ΕΕ L 187/1 της 26.06.2014).</w:t>
      </w:r>
    </w:p>
    <w:p>
      <w:pPr>
        <w:pStyle w:val="PreambelText"/>
        <w:spacing w:before="240" w:after="240"/>
        <w:rPr>
          <w:lang w:val="el" w:eastAsia="el"/>
        </w:rPr>
      </w:pPr>
      <w:r>
        <w:rPr>
          <w:lang w:val="el" w:eastAsia="el"/>
        </w:rPr>
        <w:t>4. Τον υπ’ αρ. 2021/1237 Κανονισμό (ΕΕ) της Ευρωπαϊκής Επιτροπής της 23ης Ιουλίου 2021 για την τροποποίηση του υπ’ αρ. 651/2014 Κανονισμού (ΕΕ) για την κήρυξη ορισμένων κατηγοριών ενισχύσεων ως συμβατών με την εσωτερική αγορά κατ’ εφαρμογή των άρθρων 107 και 108 της Συνθήκης και ειδικά την παρ. 4γ του άρθρου 1 αυτής.</w:t>
      </w:r>
    </w:p>
    <w:p>
      <w:pPr>
        <w:pStyle w:val="PreambelText"/>
        <w:spacing w:before="240" w:after="240"/>
        <w:rPr>
          <w:lang w:val="el" w:eastAsia="el"/>
        </w:rPr>
      </w:pPr>
      <w:r>
        <w:rPr>
          <w:lang w:val="el" w:eastAsia="el"/>
        </w:rPr>
        <w:t>5. Την υπό στοιχεία 120141/ΕΞ2021 απόφαση έγκρισης του Εγχειριδίου Διαδικασιών του Συστήματος Διαχείρισης και Ελέγχου του Ταμείου Ανάκαμψης, δυνάμει της υπό στοιχεία 119126 ΕΞ 28-9-2021 (Β’ 4498) απόφασης του Αναπληρωτή Υπουργού Οικονομικών.</w:t>
      </w:r>
    </w:p>
    <w:p>
      <w:pPr>
        <w:pStyle w:val="PreambelText"/>
        <w:spacing w:before="240" w:after="240"/>
        <w:rPr>
          <w:lang w:val="el" w:eastAsia="el"/>
        </w:rPr>
      </w:pPr>
      <w:r>
        <w:rPr>
          <w:lang w:val="el" w:eastAsia="el"/>
        </w:rPr>
        <w:t>6. Το άρθρο 3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pStyle w:val="PreambelText"/>
        <w:spacing w:before="240" w:after="240"/>
        <w:rPr>
          <w:lang w:val="el" w:eastAsia="el"/>
        </w:rPr>
      </w:pPr>
      <w:r>
        <w:rPr>
          <w:lang w:val="el" w:eastAsia="el"/>
        </w:rPr>
        <w:t>7. Την υπ’ αρ. 100335/21-06-2019 κοινή απόφαση των των Υπουργών Παιδείας, Έρευνας και Θρησκευμάτων και Οικονομικών «Κριτήρια χαρακτηρισμού δαπανών επιστημονικής και τεχνολογικής έρευνας των επιχειρήσεων» (Β’ 2600), όπως τροποποιήθηκε με την υπ’ αρ. 79230/15.7.2021 (Β’ 3293) όμοια απόφαση.</w:t>
      </w:r>
    </w:p>
    <w:p>
      <w:pPr>
        <w:pStyle w:val="PreambelText"/>
        <w:spacing w:before="240" w:after="240"/>
        <w:rPr>
          <w:lang w:val="el" w:eastAsia="el"/>
        </w:rPr>
      </w:pPr>
      <w:r>
        <w:rPr>
          <w:lang w:val="el" w:eastAsia="el"/>
        </w:rPr>
        <w:t>8. Το γεγονός ότι από τις διατάξεις της παρούσας προκαλείται δαπάνη μέχρι του ποσού των εκατό πενήντα εκατομμυρίων (150.000.000) ευρώ, σε βάρος του προϋπολογισμού του Υπουργείου Υγείας, οικονομικού έτους 2024, 2025 και 2026, η οποία θα καλυφθεί από το Ταμείο Ανάκαμψης. και Ανθεκτικότητας το οποίο χρηματοδοτείται από την Ευρωπαϊκή Ένωση NextGeneration EU.ή/και από εθνικούς πόρους που θα συνεισφέρει το Ελληνικό Δημόσιο σύμφωνα με τους όρους και τις προϋποθέσεις που τίθενται στον Κανονισμό Ε.Ε. 651/2014.</w:t>
      </w:r>
    </w:p>
    <w:p>
      <w:pPr>
        <w:pStyle w:val="PreambelText"/>
        <w:spacing w:before="240" w:after="240"/>
        <w:rPr>
          <w:lang w:val="el" w:eastAsia="el"/>
        </w:rPr>
      </w:pPr>
      <w:r>
        <w:rPr>
          <w:lang w:val="el" w:eastAsia="el"/>
        </w:rPr>
        <w:t xml:space="preserve">9. Την υπό στοιχεία Γ.Π./Β1β,Β2β/27247/11-05-2023 εισήγηση της Γενικής Διεύθυνσης Οικονομικών Υπηρεσιών, Διεύθυνσης προϋπολογισμού και Δημοσιονομικών αναφορών του Υπουργείου Υγείας, σύμφωνα με την παρ. 5 του άρθρου 24 του ν. 4270/2014, από την οποία προκύπτει ότι θα προκληθεί απώλεια εσόδων για τα δημόσια Νοσοκομεία και τον Ε.Ο.Π.Υ.Υ., μέχρι του ποσού των 150 εκατομμυρίων € για τα έτη 2024, 2025 και 2026, λόγω του συμψηφισμού των ποσών clawback και των εκπτώσεων που χορηγούνται στο πλαίσιο του άρθρου 254 του ν. 4512/2018 (Α’ 5), με δαπάνες έρευνας και ανάπτυξης και δαπάνες επενδυτικών σχεδίων και ότι η προκαλούμενη μείωση εσόδων θα ισοσταθμιστεί με ισόποση χρηματοδότηση από τις πιστώσεις του έργου «Μεταρρύθμιση του συστήματος clawback και συμψηφισμό με ερευνητικές και επενδυτικές δαπάνες» (κωδικός ΟΠΣ ΤΑ 5150266) από το Ταμείο Ανάκαμψης και Ανθεκτικότητας, το οποίο είναι εγγεγραμμένο στη ΣΑΤΑ 091 του ΠΔΕ του Υπουργείου Υγείας, με συνολικό εγκεκριμένο προϋπολογισμό 400 εκατομμύρια €,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 και 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προϊόντα που προάγουν την θεραπευτική αγωγή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της παρ. 2δ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υποδομών ανάπτυξης προϊόντων ή υπηρεσιών ή γραμμών παραγωγής («Επενδυτικό Σχέδιο») νοείται κάθε ενέργεια που σκοπό έχει την υλοποίηση αρχικής επένδυσης, που αποσκοπεί στην εγκατάσταση νέας παραγωγικής διαδικασίας ή εργαστηριακής ερευνητικής υποδομής ανάπτυξης πρώτης ύλης για την παραγωγή φαρμάκου ή φαρμακευτικών προϊόντων ή προ-κλινικών κλινικών δοκιμών, στην αύξηση της δυναμικότητας αυτών και στην βελτίωση της ποιότητας των παραγόμενων προϊόντων, σύμφωνα με τα οριζόμενα κατωτέρω.</w:t>
      </w:r>
    </w:p>
    <w:p>
      <w:pPr>
        <w:spacing w:before="240" w:after="240"/>
        <w:rPr>
          <w:lang w:val="el" w:eastAsia="el"/>
        </w:rPr>
      </w:pPr>
      <w:r>
        <w:rPr>
          <w:lang w:val="el" w:eastAsia="el"/>
        </w:rPr>
        <w:t>3) Ως Δικαιούχος για Έργο Ε και Α και Επενδυτικό Σχέδιο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Ειδικά για Επενδυτικά Σχέδια δικαιούχοι είναι επίσης επιχειρήσεις που δραστηριοποιούνται σε τομείς οικονομικής δραστηριότητας που εμπίπτουν στους κωδικούς δραστηριότητας ΚΑΔ 21.10, 21.20, 26.60, 32.50, 17.22 και 72.19 και υποχρεούνται σε καταβολή ποσού αυτόματης επιστροφής (clawback).</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διάταξης της περ. ζ’ της παρ. 1 του άρθρου 11 του ν. 4052/2012 (Α’ 41) και της παρ. 1β) του άρθρου 100 του ν. 4172/2013,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δικαιούχων,</w:t>
      </w:r>
    </w:p>
    <w:p>
      <w:pPr>
        <w:pStyle w:val="StructureList1"/>
        <w:spacing w:before="120" w:after="0"/>
        <w:rPr>
          <w:lang w:val="el" w:eastAsia="el"/>
        </w:rPr>
      </w:pPr>
      <w:r>
        <w:rPr>
          <w:lang w:val="el" w:eastAsia="el"/>
        </w:rPr>
        <w:t>β)</w:t>
      </w:r>
      <w:r>
        <w:rPr>
          <w:lang w:val="en" w:eastAsia="en"/>
        </w:rPr>
        <w:tab/>
      </w:r>
      <w:r>
        <w:rPr>
          <w:lang w:val="el" w:eastAsia="el"/>
        </w:rPr>
        <w:t>ο δικαιούχος θα πρέπει να είναι ενήμερος ως προς την καταβολή των ποσών επιστροφής (rebate) και της καταβολής των οφειλόμενων ποσών ή δόσεων της αυτόματης επιστροφής (clawback),</w:t>
      </w:r>
    </w:p>
    <w:p>
      <w:pPr>
        <w:pStyle w:val="StructureList1"/>
        <w:spacing w:before="120" w:after="0"/>
        <w:rPr>
          <w:lang w:val="el" w:eastAsia="el"/>
        </w:rPr>
      </w:pPr>
      <w:r>
        <w:rPr>
          <w:lang w:val="el" w:eastAsia="el"/>
        </w:rPr>
        <w:t>γ)</w:t>
      </w:r>
      <w:r>
        <w:rPr>
          <w:lang w:val="en" w:eastAsia="en"/>
        </w:rPr>
        <w:tab/>
      </w:r>
      <w:r>
        <w:rPr>
          <w:lang w:val="el" w:eastAsia="el"/>
        </w:rPr>
        <w:t>αποκλείεται η καταβολή ενισχύσεων υπέρ επιχειρήσεων κατά των οποίων εκκρεμεί διαταγή ανάκτησης, κατόπιν προηγούμενης απόφασης της Ευρωπαϊκής Επιτροπής (ΕΕ), με την οποία μια ενίσχυση κηρύσσεται παράνομη και ασυμβίβαστη καθώς και υπέρ προβληματικών επιχειρήσεων με την έννοια της παρ. 18 του άρθρου 2 του ΓΑΚ όπως ισχύει.</w:t>
      </w:r>
    </w:p>
    <w:p>
      <w:pPr>
        <w:spacing w:before="240" w:after="240"/>
        <w:rPr>
          <w:lang w:val="el" w:eastAsia="el"/>
        </w:rPr>
      </w:pPr>
      <w:r>
        <w:rPr>
          <w:lang w:val="el" w:eastAsia="el"/>
        </w:rPr>
        <w:t>4) Το ποσό συμψηφισμού ανέρχεται σε διακόσια εκατομμύρια (200.000.000) ευρώ.</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5) Ως ποσά υποκείμενα σε συμψηφισμό με δαπάνες έρευνας και ανάπτυξης και δαπάνες επενδυτικών σχεδίων ανάπτυξης προϊόντων ή υπηρεσιών ή γραμμών παραγωγής, σύμφωνα με την παρούσα, θεωρούνται και α) η έκπτωση, την οποία χορηγούν οι Κ.Α.Κ. ή οι φαρμακευτικές εταιρείες, στο πλαίσιο των διαπραγματεύσεών τους με την Επιτροπή Διαπραγμάτευσης Τιμών Φαρμάκων του Ε.Ο.Π.Υ.Υ., κατ' άρθρο 254 του ν. 4512/2018 (Α'5) και η οποία αντιστοιχεί έως το ποσό αυτόματης επιστροφής (clawback) που θα καταλογιζόταν σε βάρος τους, και β) το ποσό που επιβάλλεται στους Κ.Α.Κ. ή τις φαρμακευτικές εταιρείες σε περιπτώσεις υπέρβασης του ορίου του επιμέρους κλειστού προϋπολογισμού που θεσπίζεται στο πλαίσιο των διαπραγματεύσεών τους με την Επιτροπή Διαπραγμάτευσης Τιμών Φαρμάκων του Ε.Ο.Π.Υ.Υ., κατ' άρθρο 254 του ν. 4512/2018 (Α' 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Οριοθέτηση/Διάκριση δραστηριοτήτων (υπαγωγές εξαιρέσεις)</w:t>
      </w:r>
    </w:p>
    <w:p>
      <w:pPr>
        <w:pStyle w:val="MainText"/>
        <w:spacing w:before="120" w:after="0"/>
        <w:rPr>
          <w:lang w:val="el" w:eastAsia="el"/>
        </w:rPr>
      </w:pPr>
      <w:r>
        <w:rPr>
          <w:b/>
          <w:bCs/>
          <w:lang w:val="el" w:eastAsia="el"/>
        </w:rPr>
        <w:t>1.</w:t>
      </w:r>
      <w:r>
        <w:rPr>
          <w:lang w:val="el" w:eastAsia="el"/>
        </w:rPr>
        <w:t xml:space="preserve"> Οι ενισχύσεις για έργα Ε και Α χορηγούνται πληρουμένου του συνόλου των προϋποθέσεων του άρθρου 25 του υπ’ αρ. 651/2014 Κανονισμού (ΕΕ) της Επιτροπής της 17ης Ιουνίου 2014 και του κεφαλαίου Ι αυτού και αφορούν σε:</w:t>
      </w:r>
    </w:p>
    <w:p>
      <w:pPr>
        <w:spacing w:before="240" w:after="240"/>
        <w:rPr>
          <w:lang w:val="el" w:eastAsia="el"/>
        </w:rPr>
      </w:pPr>
      <w:r>
        <w:rPr>
          <w:lang w:val="el" w:eastAsia="el"/>
        </w:rPr>
        <w:t>«Βιομηχανική Έρευνα» ορίζεται η σχεδιασμένη έρευνα ή κριτική διερεύνηση που αποσκοπεί στην απόκτηση νέων γνώσεων και δεξιοτήτων για την ανάπτυξη νέων προϊόντων, διεργασιών ή υπηρεσιών ή για τη σημαντική βελτίωση υφιστάμενων προϊόντων, διεργασιών ή υπηρεσιών. Περιλαμβάνει τη δημιουργία συστατικών στοιχείων πολύπλοκων συστημάτων και μπορεί να συμπεριλαμβάνει την κατασκευή πρωτοτύπων σε εργαστηριακό περιβάλλον ή σε περιβάλλον προσομοίωσης διεπαφών με υφιστάμενα συστήματα, καθώς και δοκιμαστικές γραμμές παραγωγής, εφόσον κρίνεται αναγκαίο για τη βιομηχανική έρευνα και ιδιαίτερα για την επικύρωση τεχνολογίας πολλαπλών εφαρμογών.</w:t>
      </w:r>
    </w:p>
    <w:p>
      <w:pPr>
        <w:spacing w:before="240" w:after="240"/>
        <w:rPr>
          <w:lang w:val="el" w:eastAsia="el"/>
        </w:rPr>
      </w:pPr>
      <w:r>
        <w:rPr>
          <w:lang w:val="el" w:eastAsia="el"/>
        </w:rPr>
        <w:t>«Πειραματική Ανάπτυξη» ορίζεται η απόκτηση, ο συνδυασμός, η διαμόρφωση και η χρήση υφισταμένων επιστημονικών, τεχνολογικών, επιχειρηματικών και άλλων συναφών γνώσεων και δεξιοτήτων που αποσκοπούν στην ανάπτυξη νέων ή βελτιωμένων προϊόντων, διαδικασιών ή υπηρεσιών. Μπορεί να περιλαμβάνονται, για παράδειγμα, και άλλες δραστηριότητες με στόχο τον εννοιολογικό προσδιορισμό, τον σχεδιασμό και την τεκμηρίωση νέων προϊόντων, διεργασιών ή υπηρεσιών. Η πειραματική ανάπτυξη μπορεί να περιλαμβάνει την κατασκευή πρωτοτύπων, την επίδειξη, την πιλοτική λειτουργία, τη δοκιμή και επικύρωση νέων ή βελτιωμένων προϊόντων, διεργασιών ή υπηρεσιών σε αντιπροσωπευτικά περιβάλλοντα πραγματικών συνθηκών λειτουργίας, στα οποία ο πρωταρχικός στόχος συνίσταται στην υλοποίηση περαιτέρω τεχνικών βελτιώσεων σε προϊόντα, διεργασίες ή υπηρεσίες που δεν έχουν διαμορφωθεί ουσιαστικά. Εν προκειμένω, μπορεί να περιλαμβάνεται η ανάπτυξη πρωτοτύπων ή πιλοτικών σχεδίων που μπορούν να χρησιμοποιηθούν εμπορικά στις περιπτώσεις που τα πρωτότυπα συνιστούν κατ’ ανάγκη το τελικό εμπορικό προϊόν και είναι υπερβολικά δαπανηρό να παραχθούν και να χρησιμοποιηθούν μόνο για σκοπούς επίδειξης και επικύρωσης. Η πειραματική ανάπτυξη δεν περιλαμβάνει τις συνήθεις ή περιοδικές τροποποιήσεις σε υφιστάμενα προϊόντα, γραμμές παραγωγής, μεταποιητικές μεθόδους, υπηρεσίες και άλλες λειτουργίες σε εξέλιξη, ακόμη και αν αυτές οι τροποποιήσεις αποτελούν, ενδεχομένως, βελτιώσεις.</w:t>
      </w:r>
    </w:p>
    <w:p>
      <w:pPr>
        <w:spacing w:before="240" w:after="240"/>
        <w:rPr>
          <w:lang w:val="el" w:eastAsia="el"/>
        </w:rPr>
      </w:pPr>
      <w:r>
        <w:rPr>
          <w:lang w:val="el" w:eastAsia="el"/>
        </w:rPr>
        <w:t>«Μελέτη Σκοπιμότητας» ορίζεται η αξιολόγηση και ανάλυση του δυναμικού ενός σχεδίου, με στόχο την υποστήριξη της διαδικασίας λήψης αποφάσεων, αποκαλύπτοντας κατά τρόπο αντικειμενικό και ορθολογικό τα πλεονεκτήματα και τις αδυναμίες του, τις ευκαιρίες και τις απειλές που προκύπτουν από αυτό, καθώς και προσδιορίζοντας τους πόρους που απαιτούνται για την εκτέλεσή του και, τελικά, τις προοπτικές επιτυχίας του.</w:t>
      </w:r>
    </w:p>
    <w:p>
      <w:pPr>
        <w:pStyle w:val="MainText"/>
        <w:spacing w:before="120" w:after="0"/>
        <w:rPr>
          <w:lang w:val="el" w:eastAsia="el"/>
        </w:rPr>
      </w:pPr>
      <w:r>
        <w:rPr>
          <w:b/>
          <w:bCs/>
          <w:lang w:val="el" w:eastAsia="el"/>
        </w:rPr>
        <w:t>2.</w:t>
      </w:r>
      <w:r>
        <w:rPr>
          <w:lang w:val="el" w:eastAsia="el"/>
        </w:rPr>
        <w:t xml:space="preserve"> Στην περίπτωση έργων Έρευνας και Ανάπτυξης (Ε και Α) φαρμακευτικών προϊόντων οι παραπάνω ορισμοί εξειδικεύονται και αφορούν όλες οι ενέργειες που πραγματοποιούνται προκειμένου να τεθεί σε κυκλοφορία ένα φαρμακευτικό προϊόν και ειδικότερα αφορούν τις παρακάτω ενέργειες στάδια ανάπτυξης ως ακολούθως: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 και 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1,2 και 3, που είναι απαραίτητες για την συμπλήρωση του εγκριτικού φακέλου του προϊόντος (αποτελεσματικότητας, ασφάλειας, φαρμακοκινητικής/φαρμακοδυναμικής, βιοϊσοδυναμίας, βιοσυμβατότητας, σταθερότητας κ.λπ.) και αφορούν χορήγηση άδειας κυκλοφορίας φαρμάκου ή επέκτασης/τροποποίησης χορηγηθείσας άδειας. Οι ανωτέρω δοκιμές των φάσεων 1,2 και 3 αναγνωρίζονται υπό την προϋπόθεση ότι διενεργούνται με την διαδικασία που προβλέπεται από την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3.</w:t>
      </w:r>
      <w:r>
        <w:rPr>
          <w:lang w:val="el" w:eastAsia="el"/>
        </w:rPr>
        <w:t xml:space="preserve"> Στην περίπτωση επενδυτικών σχεδίων ανάπτυξης προϊόντων ή υπηρεσιών ή γραμμών παραγωγής, τα μέτρα περιφερειακών επενδυτικών ενισχύσεων συμβιβάζονται με την εσωτερική αγορά κατά την έννοια της παρ. 3 του άρθρου 107 της Συνθήκης και απαλλάσσονται από την υποχρέωση κοινοποίησης που προβλέπεται στην παρ. 3 του άρθρου 108 της Συνθήκης, εφ’ όσον πληρούνται οι προϋποθέσεις των άρθρων 13 και 14 του υπ’ αρ. 651/ 2014 Κανονισμού (ΕΕ) της Επιτροπής της 17ης Ιουνίου 2014 και του κεφαλαίου Ι του Κανονισμού.</w:t>
      </w:r>
    </w:p>
    <w:p>
      <w:pPr>
        <w:spacing w:before="240" w:after="240"/>
        <w:rPr>
          <w:lang w:val="el" w:eastAsia="el"/>
        </w:rPr>
      </w:pPr>
      <w:r>
        <w:rPr>
          <w:lang w:val="el" w:eastAsia="el"/>
        </w:rPr>
        <w:t>Οι ενισχύσεις χορηγούνται σε ενισχυόμενες περιοχές. Στις ενισχυόμενες περιοχές που πληρούν τις προϋποθέσεις της παρ. 3 του άρθρου 107 του στοιχείου α) της Συνθήκης, οι ενισχύσεις μπορούν να χορηγούνται για αρχικές επενδύσεις, ανεξάρτητα από το μέγεθος του δικαιούχου.</w:t>
      </w:r>
    </w:p>
    <w:p>
      <w:pPr>
        <w:spacing w:before="240" w:after="240"/>
        <w:rPr>
          <w:lang w:val="el" w:eastAsia="el"/>
        </w:rPr>
      </w:pPr>
      <w:r>
        <w:rPr>
          <w:lang w:val="el" w:eastAsia="el"/>
        </w:rPr>
        <w:t>Ως αρχική επένδυση, βάσει του σημείου 49 του υπ’ αρ. 651/2014, του άρθρου 2 του Κανονισμού (ΕΕ)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 ή</w:t>
      </w:r>
    </w:p>
    <w:p>
      <w:pPr>
        <w:pStyle w:val="StructureList1"/>
        <w:spacing w:before="120" w:after="0"/>
        <w:rPr>
          <w:lang w:val="el" w:eastAsia="el"/>
        </w:rPr>
      </w:pPr>
      <w:r>
        <w:rPr>
          <w:lang w:val="el" w:eastAsia="el"/>
        </w:rPr>
        <w:t>β)</w:t>
      </w:r>
      <w:r>
        <w:rPr>
          <w:lang w:val="en" w:eastAsia="en"/>
        </w:rPr>
        <w:tab/>
      </w:r>
      <w:r>
        <w:rPr>
          <w:lang w:val="el" w:eastAsia="el"/>
        </w:rPr>
        <w:t>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p>
      <w:pPr>
        <w:spacing w:before="240" w:after="240"/>
        <w:rPr>
          <w:lang w:val="el" w:eastAsia="el"/>
        </w:rPr>
      </w:pPr>
      <w:r>
        <w:rPr>
          <w:lang w:val="el" w:eastAsia="el"/>
        </w:rPr>
        <w:t>Στις ενισχυόμενες περιοχές που πληρούν τις προϋποθέσεις της παρ. 3 του άρθρου 107 του στοιχείου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w:t>
      </w:r>
    </w:p>
    <w:p>
      <w:pPr>
        <w:spacing w:before="240" w:after="240"/>
        <w:rPr>
          <w:lang w:val="el" w:eastAsia="el"/>
        </w:rPr>
      </w:pPr>
      <w:r>
        <w:rPr>
          <w:lang w:val="el" w:eastAsia="el"/>
        </w:rPr>
        <w:t>Ως αρχική επένδυση για νέα οικονομική δραστηριότητα, βάσει του σημείου 51 του άρθρου 2 του υπ’αρ. 651/2014 Κανονισμού (ΕΕ) νοείται:</w:t>
      </w:r>
    </w:p>
    <w:p>
      <w:pPr>
        <w:pStyle w:val="StructureList1"/>
        <w:spacing w:before="120" w:after="0"/>
        <w:rPr>
          <w:lang w:val="el" w:eastAsia="el"/>
        </w:rPr>
      </w:pPr>
      <w:r>
        <w:rPr>
          <w:lang w:val="el" w:eastAsia="el"/>
        </w:rPr>
        <w:t>α)</w:t>
      </w:r>
      <w:r>
        <w:rPr>
          <w:lang w:val="en" w:eastAsia="en"/>
        </w:rPr>
        <w:tab/>
      </w:r>
      <w:r>
        <w:rPr>
          <w:lang w:val="el" w:eastAsia="el"/>
        </w:rPr>
        <w:t>η επένδυση σε ενσώματα και άυλα στοιχεία ενεργητικού σχετικά με τη δημιουργία νέας επιχειρηματικής εγκατάστασης ή τη διαφοροποίηση της δραστηριότητας επιχειρηματικής εγκατάστασης, υπό την προϋπόθεση ότι η νέα δραστηριότητα δεν είναι η ίδια ή παρεμφερής με εκείνη που ασκούνταν προηγουμένως στην εγκατάσταση·</w:t>
      </w:r>
    </w:p>
    <w:p>
      <w:pPr>
        <w:pStyle w:val="StructureList1"/>
        <w:spacing w:before="120" w:after="0"/>
        <w:rPr>
          <w:lang w:val="el" w:eastAsia="el"/>
        </w:rPr>
      </w:pPr>
      <w:r>
        <w:rPr>
          <w:lang w:val="el" w:eastAsia="el"/>
        </w:rPr>
        <w:t>β)</w:t>
      </w:r>
      <w:r>
        <w:rPr>
          <w:lang w:val="en" w:eastAsia="en"/>
        </w:rPr>
        <w:tab/>
      </w:r>
      <w:r>
        <w:rPr>
          <w:lang w:val="el" w:eastAsia="el"/>
        </w:rPr>
        <w:t>η απόκτηση των στοιχείων ενεργητικού που ανήκουν σε επιχειρηματική εγκατάσταση που έχει κλείσει ή θα είχε κλείσει εάν δεν είχε αγορασθεί και η οποία αγοράζεται από επενδυτή που δεν έχει σχέση με τον πωλητή, υπό την προϋπόθεση ότι η νέα δραστηριότητα που θα ασκείται με τη χρήση των αποκτηθέντων στοιχείων ενεργητικού δεν είναι ίδια ή παρεμφερής με εκείνη που ασκούνταν στην επιχειρηματική εγκατάσταση πριν από την αγορά·</w:t>
      </w:r>
    </w:p>
    <w:p>
      <w:pPr>
        <w:spacing w:before="240" w:after="240"/>
        <w:rPr>
          <w:lang w:val="el" w:eastAsia="el"/>
        </w:rPr>
      </w:pPr>
      <w:r>
        <w:rPr>
          <w:lang w:val="el" w:eastAsia="el"/>
        </w:rPr>
        <w:t>Σύμφωνα με τα οριζόμενα στο σημείο 50 του άρθρου 2 του υπ’ αρ. 651/2014 Κανονισμού (ΕΕ) , ίδια ή παρεμφερής δραστηριότητα νοείται κάθε δραστηριότητα που εμπίπτει στην ίδια τάξη (τετραψήφιος αριθμητικός κωδικός) της στατιστικής ταξινόμησης των οικονομικών δραστηριοτήτων NACE αναθ. 2, σύμφωνα με τον υπ’ αρ. 1893/2006 κανονισμό (ΕΚ) του Ευρωπαϊκού Κοινοβουλίου και του Συμβουλίου, της 20ής Δεκεμβρίου 2006, για τη θέσπιση της στατιστικής ταξινόμησης των οικονομικών δραστηριοτήτων NACE — αναθεώρηση 2 και για την τροποποίηση του υπ’ αρ. 1893/2006 3037/90 κανονισμού (ΕΟΚ) του Συμβουλίου και ορισμένων κανονισμών των Ευρωπαϊκών Κοινοτήτων σχετικών με ειδικούς στατιστικούς τομείς.</w:t>
      </w:r>
    </w:p>
    <w:p>
      <w:pPr>
        <w:spacing w:before="240" w:after="240"/>
        <w:rPr>
          <w:lang w:val="el" w:eastAsia="el"/>
        </w:rPr>
      </w:pPr>
      <w:r>
        <w:rPr>
          <w:lang w:val="el" w:eastAsia="el"/>
        </w:rPr>
        <w:t>Τα ανωτέρω υλοποιούνται με δράσεις της αλυσίδας ανάπτυξη-παραγωγή-αποθήκευση προϊόντων, των ΚΑΔ της παρ. 3 του άρθρου 1, και αφορούν ενέργειες σχεδιασμού, μεταφοράς τεχνολογίας, κατασκευής κτιριακών και ειδικών ηλεκτρομηχανολογικών εγκαταστάσεων παραγωγής, αγοράς, ανέγερσης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spacing w:before="240" w:after="240"/>
        <w:rPr>
          <w:lang w:val="el" w:eastAsia="el"/>
        </w:rPr>
      </w:pPr>
      <w:r>
        <w:rPr>
          <w:lang w:val="el" w:eastAsia="el"/>
        </w:rPr>
        <w:t>Ως έναρξη εργασιών/δαπανών ορίζεται το πρώτο χρονικά μεταξύ είτε της έναρξης των εργασιών που αφορούν στην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p>
    <w:p>
      <w:pPr>
        <w:pStyle w:val="MainText"/>
        <w:spacing w:before="120" w:after="0"/>
        <w:rPr>
          <w:lang w:val="el" w:eastAsia="el"/>
        </w:rPr>
      </w:pPr>
      <w:r>
        <w:rPr>
          <w:b/>
          <w:bCs/>
          <w:lang w:val="el" w:eastAsia="el"/>
        </w:rPr>
        <w:t>4.</w:t>
      </w:r>
      <w:r>
        <w:rPr>
          <w:lang w:val="el" w:eastAsia="el"/>
        </w:rPr>
        <w:t xml:space="preserve"> Σύμφωνα με το άρθρο 4 την παρ. του υπ’ αρ. 651/2014 Κανονισμού (ΕΕ) η παρούσα δεν εφαρμόζεται στις ενισχύσεις που υπερβαίνουν τα ακόλουθα όρια:</w:t>
      </w:r>
    </w:p>
    <w:p>
      <w:pPr>
        <w:pStyle w:val="StructureList1"/>
        <w:spacing w:before="120" w:after="0"/>
        <w:rPr>
          <w:lang w:val="el" w:eastAsia="el"/>
        </w:rPr>
      </w:pPr>
      <w:r>
        <w:rPr>
          <w:lang w:val="el" w:eastAsia="el"/>
        </w:rPr>
        <w:t>α)</w:t>
      </w:r>
      <w:r>
        <w:rPr>
          <w:lang w:val="en" w:eastAsia="en"/>
        </w:rPr>
        <w:tab/>
      </w:r>
      <w:r>
        <w:rPr>
          <w:lang w:val="el" w:eastAsia="el"/>
        </w:rPr>
        <w:t>Για τις περιφερειακές επενδυτικές ενισχύσεις: το «προσαρμοσμένο ποσό της ενίσχυσης», που υπολογίζεται σύμφωνα με τον μηχανισμό που διευκρινίζεται στο άρθρο 2 σημείο 20 του υπ’ αρ. 651/2014 Κανονισμού (ΕΕ), προκειμένου για επένδυση με επιλέξιμες δαπάνες ύψους 100 εκατομμυρίων ευρώ. Κάθε αρχική επένδυση του ίδιου δικαιούχου (σε επίπεδο ομίλου), η οποία αρχίζει εντός τριών ετών από την ημερομηνία έναρξης των εργασιών για άλλη ενισχυόμενη επένδυση στην ίδια περιφέρεια επιπέδου 3 της ονοματολογίας εδαφικών στατιστικών μονάδων, θεωρείται ότι ανήκει σε ενιαίο επενδυτικό έργο. Όταν το ενιαίο επενδυτικό έργο αποτελεί μεγάλο επενδυτικό έργο, το συνολικό ποσό της ενίσχυσης για το ενιαίο επενδυτικό έργο δεν υπερβαίνει το προσαρμοσμένο ποσό ενίσχυσης για μεγάλα επενδυτικά έργα.</w:t>
      </w:r>
    </w:p>
    <w:p>
      <w:pPr>
        <w:spacing w:before="240" w:after="240"/>
        <w:rPr>
          <w:lang w:val="el" w:eastAsia="el"/>
        </w:rPr>
      </w:pPr>
      <w:r>
        <w:rPr>
          <w:lang w:val="el" w:eastAsia="el"/>
        </w:rPr>
        <w:t>Β) Για τις ενισχύσεις για έρευνα και ανάπτυξη:</w:t>
      </w:r>
    </w:p>
    <w:p>
      <w:pPr>
        <w:pStyle w:val="StructureList1"/>
        <w:spacing w:before="120" w:after="0"/>
        <w:rPr>
          <w:lang w:val="el" w:eastAsia="el"/>
        </w:rPr>
      </w:pPr>
      <w:r>
        <w:rPr>
          <w:lang w:val="el" w:eastAsia="el"/>
        </w:rPr>
        <w:t>i)</w:t>
      </w:r>
      <w:r>
        <w:rPr>
          <w:lang w:val="en" w:eastAsia="en"/>
        </w:rPr>
        <w:tab/>
      </w:r>
      <w:r>
        <w:rPr>
          <w:lang w:val="el" w:eastAsia="el"/>
        </w:rPr>
        <w:t>Εάν το έργο αφορά κυρίως βιομηχανική έρευνα: 20 εκατομμύρια ευρώ ανά επιχείρηση και ανά έργο.</w:t>
      </w:r>
    </w:p>
    <w:p>
      <w:pPr>
        <w:pStyle w:val="StructureList1"/>
        <w:spacing w:before="120" w:after="0"/>
        <w:rPr>
          <w:lang w:val="el" w:eastAsia="el"/>
        </w:rPr>
      </w:pPr>
      <w:r>
        <w:rPr>
          <w:lang w:val="el" w:eastAsia="el"/>
        </w:rPr>
        <w:t>ii)</w:t>
      </w:r>
      <w:r>
        <w:rPr>
          <w:lang w:val="en" w:eastAsia="en"/>
        </w:rPr>
        <w:tab/>
      </w:r>
      <w:r>
        <w:rPr>
          <w:lang w:val="el" w:eastAsia="el"/>
        </w:rPr>
        <w:t>Εάν το έργο αφορά κυρίως πειραματική ανάπτυξη: 15 εκατομμύρια ευρώ ανά επιχείρηση και ανά έργο.</w:t>
      </w:r>
    </w:p>
    <w:p>
      <w:pPr>
        <w:pStyle w:val="StructureList1"/>
        <w:spacing w:before="120" w:after="0"/>
        <w:rPr>
          <w:lang w:val="el" w:eastAsia="el"/>
        </w:rPr>
      </w:pPr>
      <w:r>
        <w:rPr>
          <w:lang w:val="el" w:eastAsia="el"/>
        </w:rPr>
        <w:t>iii)</w:t>
      </w:r>
      <w:r>
        <w:rPr>
          <w:lang w:val="en" w:eastAsia="en"/>
        </w:rPr>
        <w:tab/>
      </w:r>
      <w:r>
        <w:rPr>
          <w:lang w:val="el" w:eastAsia="el"/>
        </w:rPr>
        <w:t>Ενισχύσεις για μελέτες σκοπιμότητας κατά την προετοιμασία ερευνητικών δραστηριοτήτων: 7,5 εκατομμύρια ευρώ ανά μελέτη.</w:t>
      </w:r>
    </w:p>
    <w:p>
      <w:pPr>
        <w:pStyle w:val="MainText"/>
        <w:spacing w:before="120" w:after="0"/>
        <w:rPr>
          <w:lang w:val="el" w:eastAsia="el"/>
        </w:rPr>
      </w:pPr>
      <w:r>
        <w:rPr>
          <w:b/>
          <w:bCs/>
          <w:lang w:val="el" w:eastAsia="el"/>
        </w:rPr>
        <w:t>5.</w:t>
      </w:r>
      <w:r>
        <w:rPr>
          <w:lang w:val="el" w:eastAsia="el"/>
        </w:rPr>
        <w:t xml:space="preserve"> Οι ενισχύσεις για έργα Ε και Α και επενδυτικών σχεδίων χορηγούνται πληρουμένου του άρθρου 6 των παρ.1 και 2 και του άρθρου 8 του υπ’ αρ. 651/2014 Κανονισμού (ΕΕ), όπου εφαρμόζονται στην παρούσα.</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υποβολής αιτημάτων ενίσχυσης έργων Ε και Α ή/και επενδυτικών σχεδίων ανάπτυξης προϊόντων ή υπηρεσιών ή γραμμών παραγωγής.</w:t>
      </w:r>
    </w:p>
    <w:p>
      <w:pPr>
        <w:spacing w:before="240" w:after="240"/>
        <w:rPr>
          <w:lang w:val="el" w:eastAsia="el"/>
        </w:rPr>
      </w:pPr>
      <w:r>
        <w:rPr>
          <w:lang w:val="el" w:eastAsia="el"/>
        </w:rPr>
        <w:t>Μετά τη δημοσίευση της παρούσης, η ΓΓΕΚ προβαίνει σε πρόσκληση στην ιστοσελίδα της για την έναρξη υποβολής αιτημάτων ενίσχυσης έργων Ε και Α ή/και επενδυτικών σχεδίων ανάπτυξης προϊόντων ή υπηρεσιών ή γραμμών παραγωγής. Αιτήματα μπορούν να υποβάλλουν οι δικαιούχοι που υπόκεινται σε διαδικασία συμψηφισμού αυτόματης επιστροφής (clawback), ανεξάρτητα από τη νομική τους μορφή, σύμφωνα με τα οριζόμενα στο άρθρο 1 της παρούσης.</w:t>
      </w:r>
    </w:p>
    <w:p>
      <w:pPr>
        <w:spacing w:before="240" w:after="240"/>
        <w:rPr>
          <w:lang w:val="el" w:eastAsia="el"/>
        </w:rPr>
      </w:pPr>
      <w:r>
        <w:rPr>
          <w:lang w:val="el" w:eastAsia="el"/>
        </w:rPr>
        <w:t>Η Δράση καθ’ όλη τη διάρκειά της [υποβολή αιτήματος ενίσχυσης, αξιολόγηση, ενστάσεις, έλεγχος δικαιολογητικών, ένταξη, πιστοποίηση, (ενδεχόμενη) τροποποίηση, έλεγχος μακροχρονίων υποχρεώσεων κ.λ.π.] υλοποιείται μέσω του Πληροφοριακού Συστήματος Κρατικών Ενισχύσεων (Π.Σ.Κ.Ε.), η πρόσβαση στο οποίο δίδεται στους δικαιούχους των ενισχύσεων μέσω της ιστοσελίδας www.ependyseis.gr/mis και στο οποίο υποχρεωτικά υποβάλλουν το σύνολο των αιτημάτων τους.</w:t>
      </w:r>
    </w:p>
    <w:p>
      <w:pPr>
        <w:spacing w:before="240" w:after="240"/>
        <w:rPr>
          <w:lang w:val="el" w:eastAsia="el"/>
        </w:rPr>
      </w:pPr>
      <w:r>
        <w:rPr>
          <w:lang w:val="el" w:eastAsia="el"/>
        </w:rPr>
        <w:t>Η Ημερομηνία έναρξης και λήξης της ηλεκτρονικής υποβολής των αιτημάτων ενίσχυσης στο Πληροφοριακό Σύστημα Κρατικών Ενισχύσεων ορίζεται στην πρόσκληση που θα εκδοθεί.</w:t>
      </w:r>
    </w:p>
    <w:p>
      <w:pPr>
        <w:spacing w:before="240" w:after="240"/>
        <w:rPr>
          <w:lang w:val="el" w:eastAsia="el"/>
        </w:rPr>
      </w:pPr>
      <w:r>
        <w:rPr>
          <w:lang w:val="el" w:eastAsia="el"/>
        </w:rPr>
        <w:t>Μετά τη λήξη της ημερομηνίας και ώρας ηλεκτρονικής υποβολής των αιτημάτων δεν γίνεται δεκτή καμία υποβολή. Αιτήματα που δεν θα υποβληθούν εμπρόθεσμα δεν αξιολογούνται.</w:t>
      </w:r>
    </w:p>
    <w:p>
      <w:pPr>
        <w:spacing w:before="240" w:after="240"/>
        <w:rPr>
          <w:lang w:val="el" w:eastAsia="el"/>
        </w:rPr>
      </w:pPr>
      <w:r>
        <w:rPr>
          <w:lang w:val="el" w:eastAsia="el"/>
        </w:rPr>
        <w:t>Οι δυνητικοί δικαιούχοι έχουν δικαίωμα υποβολής έως τριών/3 αιτημάτων ενίσχυσης έργων Ε και Α και έως τριών/3 επενδυτικών σχεδίων.</w:t>
      </w:r>
    </w:p>
    <w:p>
      <w:pPr>
        <w:spacing w:before="240" w:after="240"/>
        <w:rPr>
          <w:lang w:val="el" w:eastAsia="el"/>
        </w:rPr>
      </w:pPr>
      <w:r>
        <w:rPr>
          <w:lang w:val="el" w:eastAsia="el"/>
        </w:rPr>
        <w:t>Η χρονική διάρκεια του έργου και η έναρξη επιλεξιμότητας δαπανών θα οριστούν στην πρόσκληση που θα εκδοθεί.</w:t>
      </w:r>
    </w:p>
    <w:p>
      <w:pPr>
        <w:spacing w:before="240" w:after="240"/>
        <w:rPr>
          <w:lang w:val="el" w:eastAsia="el"/>
        </w:rPr>
      </w:pPr>
      <w:r>
        <w:rPr>
          <w:lang w:val="el" w:eastAsia="el"/>
        </w:rPr>
        <w:t>Στο αίτημα ενίσχυσης θα αναφέρονται με σαφήνεια τα ακόλουθα στοιχεία, σύμφωνα με τα οριζόμενα στο άρθρο 6 του υπ’ αρ. 651/2014 Κανονισμού (ΕΕ):</w:t>
      </w:r>
    </w:p>
    <w:p>
      <w:pPr>
        <w:spacing w:before="240" w:after="240"/>
        <w:rPr>
          <w:lang w:val="el" w:eastAsia="el"/>
        </w:rPr>
      </w:pPr>
      <w:r>
        <w:rPr>
          <w:lang w:val="el" w:eastAsia="el"/>
        </w:rPr>
        <w:t>Χαρακτήρας κινήτρου: Θεωρείται ότι οι ενισχύσεις έχουν χαρακτήρα κινήτρου, εάν ο δικαιούχος έχει υποβάλει γραπτή αίτηση ενίσχυσης στο οικείο κράτος μέλος πριν από την έναρξη των εργασιών για το έργο ή τη δραστηριότητα. Η αίτηση για τη χορήγηση ενίσχυσης περιλαμβάνει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Την ονομασία και το μέγεθος της επιχείρησης·</w:t>
      </w:r>
    </w:p>
    <w:p>
      <w:pPr>
        <w:pStyle w:val="StructureList1"/>
        <w:spacing w:before="120" w:after="0"/>
        <w:rPr>
          <w:lang w:val="el" w:eastAsia="el"/>
        </w:rPr>
      </w:pPr>
      <w:r>
        <w:rPr>
          <w:lang w:val="el" w:eastAsia="el"/>
        </w:rPr>
        <w:t>β)</w:t>
      </w:r>
      <w:r>
        <w:rPr>
          <w:lang w:val="en" w:eastAsia="en"/>
        </w:rPr>
        <w:tab/>
      </w:r>
      <w:r>
        <w:rPr>
          <w:lang w:val="el" w:eastAsia="el"/>
        </w:rPr>
        <w:t>περιγραφή του έργου, συμπεριλαμβανομένων των ημερομηνιών έναρξης και λήξης·</w:t>
      </w:r>
    </w:p>
    <w:p>
      <w:pPr>
        <w:pStyle w:val="StructureList1"/>
        <w:spacing w:before="120" w:after="0"/>
        <w:rPr>
          <w:lang w:val="el" w:eastAsia="el"/>
        </w:rPr>
      </w:pPr>
      <w:r>
        <w:rPr>
          <w:lang w:val="el" w:eastAsia="el"/>
        </w:rPr>
        <w:t>γ)</w:t>
      </w:r>
      <w:r>
        <w:rPr>
          <w:lang w:val="en" w:eastAsia="en"/>
        </w:rPr>
        <w:tab/>
      </w:r>
      <w:r>
        <w:rPr>
          <w:lang w:val="el" w:eastAsia="el"/>
        </w:rPr>
        <w:t>τον τόπο εκτέλεσης του έργου·</w:t>
      </w:r>
    </w:p>
    <w:p>
      <w:pPr>
        <w:pStyle w:val="StructureList1"/>
        <w:spacing w:before="120" w:after="0"/>
        <w:rPr>
          <w:lang w:val="el" w:eastAsia="el"/>
        </w:rPr>
      </w:pPr>
      <w:r>
        <w:rPr>
          <w:lang w:val="el" w:eastAsia="el"/>
        </w:rPr>
        <w:t>δ)</w:t>
      </w:r>
      <w:r>
        <w:rPr>
          <w:lang w:val="en" w:eastAsia="en"/>
        </w:rPr>
        <w:tab/>
      </w:r>
      <w:r>
        <w:rPr>
          <w:lang w:val="el" w:eastAsia="el"/>
        </w:rPr>
        <w:t>κατάλογο των δαπανών του έργου·</w:t>
      </w:r>
    </w:p>
    <w:p>
      <w:pPr>
        <w:pStyle w:val="StructureList1"/>
        <w:spacing w:before="120" w:after="0"/>
        <w:rPr>
          <w:lang w:val="el" w:eastAsia="el"/>
        </w:rPr>
      </w:pPr>
      <w:r>
        <w:rPr>
          <w:lang w:val="el" w:eastAsia="el"/>
        </w:rPr>
        <w:t>ε)</w:t>
      </w:r>
      <w:r>
        <w:rPr>
          <w:lang w:val="en" w:eastAsia="en"/>
        </w:rPr>
        <w:tab/>
      </w:r>
      <w:r>
        <w:rPr>
          <w:lang w:val="el" w:eastAsia="el"/>
        </w:rPr>
        <w:t>είδος ενίσχυσης (επιχορήγηση, δάνειο, εγγύηση, επιστρεπτέα προκαταβολή, εισφορά κεφαλαίου ή άλλο) και ποσό της δημόσιας χρηματοδότησης (για τις ανάγκες της παρούσης το ποσό συμψηφισμού) που απαιτείται για το έργο.</w:t>
      </w:r>
    </w:p>
    <w:p>
      <w:pPr>
        <w:spacing w:before="240" w:after="240"/>
        <w:rPr>
          <w:lang w:val="el" w:eastAsia="el"/>
        </w:rPr>
      </w:pPr>
      <w:r>
        <w:rPr>
          <w:lang w:val="el" w:eastAsia="el"/>
        </w:rPr>
        <w:t> </w:t>
      </w:r>
    </w:p>
    <w:p>
      <w:pPr>
        <w:spacing w:before="240" w:after="240"/>
        <w:rPr>
          <w:lang w:val="el" w:eastAsia="el"/>
        </w:rPr>
      </w:pPr>
      <w:r>
        <w:rPr>
          <w:lang w:val="el" w:eastAsia="el"/>
        </w:rPr>
        <w:t>Επί πλέον των ανωτέρω στο αίτημα ενίσχυσης πρέπει να αναφέρονται το αντικείμενο και οι στόχοι του έργου, η αναγκαιότητα υλοποίησης αυτού και ο αναπτυξιακός χαρακτήρας του.Οι δαπάνες του άρθρου 4 των έργων Ε και Α και των επενδυτικών σχεδίων ανάπτυξης προϊόντων ή υπηρεσιών ή γραμμών παραγωγής είναι επιλέξιμες εάν έχουν χαρακτήρα κινήτρου και έχουν υλοποιηθεί μετά την ημερομηνία αίτησης ενίσχυσης.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 και Α, κατά τις διατάξεις των άρθρων 1 και 2 της παρούσας και του άρθρου 25 του υπ’ αρ. 651/2014 Κανονισμού (ΕΕ)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β)</w:t>
      </w:r>
      <w:r>
        <w:rPr>
          <w:lang w:val="en" w:eastAsia="en"/>
        </w:rPr>
        <w:tab/>
      </w:r>
      <w:r>
        <w:rPr>
          <w:lang w:val="el" w:eastAsia="el"/>
        </w:rPr>
        <w:t>Αποσβέσεις δαπανών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 εφόσον παγιοποιούνται.</w:t>
      </w:r>
    </w:p>
    <w:p>
      <w:pPr>
        <w:pStyle w:val="StructureList1"/>
        <w:spacing w:before="120" w:after="0"/>
        <w:rPr>
          <w:lang w:val="el" w:eastAsia="el"/>
        </w:rPr>
      </w:pPr>
      <w:r>
        <w:rPr>
          <w:lang w:val="el" w:eastAsia="el"/>
        </w:rPr>
        <w:t>γ)</w:t>
      </w:r>
      <w:r>
        <w:rPr>
          <w:lang w:val="en" w:eastAsia="en"/>
        </w:rPr>
        <w:tab/>
      </w:r>
      <w:r>
        <w:rPr>
          <w:lang w:val="el" w:eastAsia="el"/>
        </w:rPr>
        <w:t>Αποσβέσεις δαπανών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 και Α.</w:t>
      </w:r>
    </w:p>
    <w:p>
      <w:pPr>
        <w:pStyle w:val="StructureList1"/>
        <w:spacing w:before="120" w:after="0"/>
        <w:rPr>
          <w:lang w:val="el" w:eastAsia="el"/>
        </w:rPr>
      </w:pPr>
      <w:r>
        <w:rPr>
          <w:lang w:val="el" w:eastAsia="el"/>
        </w:rPr>
        <w:t>δ)</w:t>
      </w:r>
      <w:r>
        <w:rPr>
          <w:lang w:val="en" w:eastAsia="en"/>
        </w:rPr>
        <w:tab/>
      </w:r>
      <w:r>
        <w:rPr>
          <w:lang w:val="el" w:eastAsia="el"/>
        </w:rPr>
        <w:t>Ανάθεση με σύμβαση σε εξωτερικούς συνεργάτες ή φορείς (ιδιωτικά εργαστήρια και επιχειρήσεις, νοσοκομεία δημόσια και ιδιωτικά, δημόσια ερευνητικά κέντρα και εργαστήρια, Α.Ε.Ι.), συγκεκριμένου τμήματος έργου έρευνας και ανάπτυξης ή/και υπηρεσίας απαραίτητης για την υλοποίηση των δράσεων Ε και Α.</w:t>
      </w:r>
    </w:p>
    <w:p>
      <w:pPr>
        <w:spacing w:before="240" w:after="240"/>
        <w:rPr>
          <w:lang w:val="el" w:eastAsia="el"/>
        </w:rPr>
      </w:pPr>
      <w:r>
        <w:rPr>
          <w:lang w:val="el" w:eastAsia="el"/>
        </w:rPr>
        <w:t>Οι επιλέξιμες για τους σκοπούς της παρούσας δαπάνες υπεργολαβίας (φυσικών και νομικών προσώπων) για την εκτέλεση τμήματος του ερευνητικού έργου Ε και Α και κλινικών δοκιμών δεν μπορούν να υπερβαίνουν το εβδομήντα τοις εκατό (70%) του συνόλου των επιλέξιμων δαπανών των έργων. Εξαιρούνται από το όριο της παραγράφου(70%) δαπάνες υπεργολαβίας που καταβάλλονται σε Ν.Π.Δ.Δ.</w:t>
      </w:r>
    </w:p>
    <w:p>
      <w:pPr>
        <w:pStyle w:val="StructureList1"/>
        <w:spacing w:before="120" w:after="0"/>
        <w:rPr>
          <w:lang w:val="el" w:eastAsia="el"/>
        </w:rPr>
      </w:pPr>
      <w:r>
        <w:rPr>
          <w:lang w:val="el" w:eastAsia="el"/>
        </w:rPr>
        <w:t>ε)</w:t>
      </w:r>
      <w:r>
        <w:rPr>
          <w:lang w:val="en" w:eastAsia="en"/>
        </w:rPr>
        <w:tab/>
      </w:r>
      <w:r>
        <w:rPr>
          <w:lang w:val="el" w:eastAsia="el"/>
        </w:rPr>
        <w:t>Πρόσθετα γενικά έξοδα όπως 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 και Α που έχουν υποβληθεί για συμψηφισμό clawback, πληρωμές για φάρμακα, υλικά, έξοδα μετακινήσεων και δαπάνες ασφάλισης που απαιτούνται για την υλοποίηση των κλινικών δοκιμών, δαπάνες αγοράς αδειών χρήσης εξειδικευμένων επιστημονικών «πακέτων»/προγραμμάτων Η/Υ, τα οποία είναι απαραίτητα για την υλοποίηση της έρευνας και 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 Δεν περιλαμβάνεται σύνηθες λογισμικό γενικής χρήσεως, μη εστιασμένο στις ιδιαίτερες υπολογιστικές ανάγκες του συγκεκριμένου έργου.</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και παρ. 6 έως και 8 του άρθρου 14 του υπ’ αρ. 651/2014 Κανονισμού (ΕΕ) της Επιτροπής της 17ης Ιουνίου 2014,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ανάπτυξη-παραγωγή-αποθήκευση προϊόντων, έως 45% του συνόλου των επιλέξιμων δαπανών των επενδυτικών σχεδίων.</w:t>
      </w:r>
    </w:p>
    <w:p>
      <w:pPr>
        <w:spacing w:before="240" w:after="240"/>
        <w:rPr>
          <w:lang w:val="el" w:eastAsia="el"/>
        </w:rPr>
      </w:pPr>
      <w:r>
        <w:rPr>
          <w:lang w:val="el" w:eastAsia="el"/>
        </w:rPr>
        <w:t>α2) Επενδυτικές δαπάνες στοιχείων ενεργητικού σύμφωνα με τα προβλεπόμενα στο σημείο 6 του άρθρου 14 του Κανονισμού (ΕΕ) 651/2014.</w:t>
      </w:r>
    </w:p>
    <w:p>
      <w:pPr>
        <w:spacing w:before="240" w:after="240"/>
        <w:rPr>
          <w:lang w:val="el" w:eastAsia="el"/>
        </w:rPr>
      </w:pPr>
      <w:r>
        <w:rPr>
          <w:lang w:val="el" w:eastAsia="el"/>
        </w:rPr>
        <w:t xml:space="preserve">α3) Ειδικές και μηχανολογικές εγκαταστάσεις (καθαροί χώροι παραγωγής, ηλεκτρομηχανολογικά δίκτυα, κ.λπ.). </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συμβιβάζονται με τα αναφερόμενα στην παρ. 8 του άρθρου 14 του υπ’ αρ. 651/2014 Κανονισμού (ΕΕ) έως 50% του συνόλου των επιλέξιμων δαπανών των επενδυτικών σχεδίων.</w:t>
      </w:r>
    </w:p>
    <w:p>
      <w:pPr>
        <w:pStyle w:val="MainText"/>
        <w:spacing w:before="120" w:after="0"/>
        <w:rPr>
          <w:lang w:val="el" w:eastAsia="el"/>
        </w:rPr>
      </w:pPr>
      <w:r>
        <w:rPr>
          <w:b/>
          <w:bCs/>
          <w:lang w:val="el" w:eastAsia="el"/>
        </w:rPr>
        <w:t>3.</w:t>
      </w:r>
      <w:r>
        <w:rPr>
          <w:lang w:val="el" w:eastAsia="el"/>
        </w:rPr>
        <w:t xml:space="preserve"> Οι αναφερόμενες στις παρ. 1 και 2 του παρόντος άρθρου δαπάνες, είναι περιοριστικές και καμία άλλη δαπάνη δεν γίνεται αποδεκτή.</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έρευνας και ανάπτυξης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σε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Για τα έργα Ε και Α το υπολογισθέν ποσό συμψηφισμού ανά δικαιούχο δεν μπορεί να υπερβαίνει για τα έργα βιομηχανικής έρευνας και τις μελέτες σκοπιμότητας το 50% για μεγάλες επιχειρήσεις, 60% για μεσαίες επιχειρήσεις και 70% για μικρές επιχειρήσεις και αντίστοιχα 25%, 35% και 45% για έργα πειραματικής ανάπτυξης όπως ορίζονται στο άρθρο 25 του υπ’ αρ. 651/2014 Κανονισμού (ΕΕ) της Επιτροπής της 17ης Ιουνίου 2014.</w:t>
      </w:r>
    </w:p>
    <w:p>
      <w:pPr>
        <w:spacing w:before="240" w:after="240"/>
        <w:rPr>
          <w:lang w:val="el" w:eastAsia="el"/>
        </w:rPr>
      </w:pPr>
      <w:r>
        <w:rPr>
          <w:lang w:val="el" w:eastAsia="el"/>
        </w:rPr>
        <w:t>Για τα επενδυτικά έργα το υπολογισθέν ποσό συμψηφισμού ανά δικαιούχο δεν μπορεί να υπερβαίνει τα όρια έντασης ενίσχυσης του χάρτη των περιφερειακών επενδυτικών ενισχύσεων ανά περιοχή όπου πραγματοποιείται η επένδυση, με τις εκάστοτε προσαυξήσεις και εξαιρέσεις στα όρια της έντασης ενίσχυσης που ορίζονται στο πλαίσιο των κρατικών ενισχύσεων και του εκάστοτε ισχύοντα, κατά τη στιγμή χορήγησης της ενίσχυσης, Χάρτη των Περιφερειακών Ενισχύσεων. Για τα επενδυτικά έργα ως τόπος υπολογισμού του ορίου ενίσχυσης ορίζεται η περιφερειακή ενότητα εγκατάστασης της επένδυσης.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ελέγχου και αξιολόγησης</w:t>
      </w:r>
    </w:p>
    <w:p>
      <w:pPr>
        <w:spacing w:before="240" w:after="240"/>
        <w:rPr>
          <w:lang w:val="el" w:eastAsia="el"/>
        </w:rPr>
      </w:pPr>
      <w:r>
        <w:rPr>
          <w:lang w:val="el" w:eastAsia="el"/>
        </w:rPr>
        <w:t>Η διαδικασία ελέγχου και αξιολόγησης των υποβληθέντων αιτημάτων ενίσχυσης διεξάγεται σε δύο φάσεις, ως ακολούθως:</w:t>
      </w:r>
    </w:p>
    <w:p>
      <w:pPr>
        <w:spacing w:before="240" w:after="240"/>
        <w:rPr>
          <w:lang w:val="el" w:eastAsia="el"/>
        </w:rPr>
      </w:pPr>
      <w:r>
        <w:rPr>
          <w:lang w:val="el" w:eastAsia="el"/>
        </w:rPr>
        <w:t>Κατά την 1η Φάση εξετάζεται/ελέγχεται η πληρότητα και επιλεξιμότητα του αιτήματος ενίσχυσης.</w:t>
      </w:r>
    </w:p>
    <w:p>
      <w:pPr>
        <w:spacing w:before="240" w:after="240"/>
        <w:rPr>
          <w:lang w:val="el" w:eastAsia="el"/>
        </w:rPr>
      </w:pPr>
      <w:r>
        <w:rPr>
          <w:lang w:val="el" w:eastAsia="el"/>
        </w:rPr>
        <w:t>Κατά τη 2η Φάση το αίτημα ενίσχυσης αξιολογείται/ βαθμολογείται βάσει κριτηρίων αξιολόγησης. Οι προϋποθέσεις πληρότητας και επιλεξιμότητας και τα κριτήρια αξιολόγησης καθορίζονται στην πρόσκληση, η οποία θα δημοσιευθεί μετά την έκδοση της παρούσης.</w:t>
      </w:r>
    </w:p>
    <w:p>
      <w:pPr>
        <w:spacing w:before="240" w:after="240"/>
        <w:rPr>
          <w:lang w:val="el" w:eastAsia="el"/>
        </w:rPr>
      </w:pPr>
      <w:r>
        <w:rPr>
          <w:lang w:val="el" w:eastAsia="el"/>
        </w:rPr>
        <w:t>Τα απαιτούμενα για τον έλεγχο της πληρότητας και επιλεξιμότητας θα βεβαιώνονται από ορκωτό λογιστή ελεγκτή ή ελεγκτική εταιρεία, ο οποίος θα πληροί τις προϋποθέσεις που αναφέρονται σύμφωνα με τα οριζόμενα στην παρ. 1 του άρθρου 6.</w:t>
      </w:r>
    </w:p>
    <w:p>
      <w:pPr>
        <w:spacing w:before="240" w:after="240"/>
        <w:rPr>
          <w:lang w:val="el" w:eastAsia="el"/>
        </w:rPr>
      </w:pPr>
      <w:r>
        <w:rPr>
          <w:lang w:val="el" w:eastAsia="el"/>
        </w:rPr>
        <w:t>Η αξιολόγηση των αιτημάτων ενίσχυσης διενεργείται από τη Γενική Γραμματεία Έρευνας και Καινοτομίας η οποία αναλαμβάνει όλες τις απαιτούμενες ενέργειες διοργάνωσης και υποστήριξης της διαδικασίας αξιολόγησης.</w:t>
      </w:r>
    </w:p>
    <w:p>
      <w:pPr>
        <w:spacing w:before="240" w:after="240"/>
        <w:rPr>
          <w:lang w:val="el" w:eastAsia="el"/>
        </w:rPr>
      </w:pPr>
      <w:r>
        <w:rPr>
          <w:lang w:val="el" w:eastAsia="el"/>
        </w:rPr>
        <w:t>Μετά το πέρας της αξιολόγησης η ΓΓΕΚ συντάσσει εισήγηση προς το Γενικό Γραμματέα Έρευνας και Καινοτομίας ο οποίος δέχεται ή απορρίπτει τεκμηριωμένα την εισήγηση. Στη συνέχεια εκδίδεται Απόφαση Ένταξης για τους δικαιούχους οι οποίοι αξιολογήθηκαν θετικά, η οποία υπογράφεται καθώς και απόφαση απόρριψης για τα αιτήματα που απερρίφθησαν.</w:t>
      </w:r>
    </w:p>
    <w:p>
      <w:pPr>
        <w:spacing w:before="240" w:after="240"/>
        <w:rPr>
          <w:lang w:val="el" w:eastAsia="el"/>
        </w:rPr>
      </w:pPr>
      <w:r>
        <w:rPr>
          <w:lang w:val="el" w:eastAsia="el"/>
        </w:rPr>
        <w:t>Οι δικαιούχοι δύνανται, εντός προθεσμίας δέκα/10 ημερών από την επομένη της έκδοσης της απόφασης ένταξης/απόρριψης, να υποβάλουν ένσταση, σύμφωνα με τα οριζόμενα στο άρθρο 24 του ν. 4310/2014 (Α’ 258), όπως τροποποιήθηκε και ισχύει, κατά της απόφασης ένταξης/απόρριψης του αιτήματος.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Διαδικασίες υποβολής και ελέγχου δαπανών αιτημάτων πιστοποίησης</w:t>
      </w:r>
    </w:p>
    <w:p>
      <w:pPr>
        <w:spacing w:before="240" w:after="240"/>
        <w:rPr>
          <w:lang w:val="el" w:eastAsia="el"/>
        </w:rPr>
      </w:pPr>
      <w:r>
        <w:rPr>
          <w:lang w:val="el" w:eastAsia="el"/>
        </w:rPr>
        <w:t>Οι δικαιούχοι οι οποίοι έχουν ενταχθεί, δύνανται να υποβάλλουν στο ΠΣΚΕ αιτήματα πιστοποίησης δαπανών και συμψηφισμού, με τη διαδικασία που θα καθοριστεί στην πρόσκληση.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Με την έκδοση των αποφάσεων ένταξης του άρθρου 5 οι δικαιούχοι για συμψηφισμό Clawback περιόδου 2024 και 2025 για το οποίο έχουν εκδοθεί σημειώματα, έχουν την δυνατότητα να ζητήσουν με υπεύθυνη δήλωσή τους προς τα νοσοκομεία του Ε.Σ.Υ. και το Γ.Ν.Θ. «ΠΑΠΑΓΕΩΡΓΙΟΥ» ή την Ε.Κ.Α.Π.Υ. ή τον Ε.Ο.Π.ΥΥ. και την έκδοση ισόποσης εγγυητικής υπέρ των νοσοκομείων του Ε.Σ.Υ. και του Γ.Ν.Θ. «ΠΑΠΑΓΕΩΡΓΙΟΥ» ή της Ε.Κ.Α.Π.Υ. ή του Ε.Ο.Π.ΥΥ. αντίστοιχα, εντός 20 ημερών από την έκδοση των σημειωμάτων, να ανασταλεί η υποχρέωση Clawback για διάστημα μέχρι την πιστοποίηση δαπανών. Το συνολικό ποσό των υποχρεώσεων Clawback που έχει δικαίωμα ο δικαιούχος να αναστείλει μέσω των υπεύθυνων δηλώσεων δεν μπορεί να υπερβαίνει το ποσό συμψηφισμού του εγκεκριμένου έργου μείον του ποσού των ενδιάμεσων πιστοποιήσεων που έχουν ήδη χρησιμοποιηθεί για συμψηφισμό με Clawback, έως εκείνη την χρονική στιγμή. Η διαδικασία επαναλαμβάνεται με την έκδοση των σημειωμάτων clawback έως την ολοκλήρωση του εγκεκριμένου έργου.</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Όλα τα ανωτέρω δικαιολογητικά (υπεύθυνη δήλωση/ εγγυητική επιστολή) που αφορούν τα νοσοκομεία του Ε.Σ.Υ. και το Γ.Ν.Θ. «ΠΑΠΑΓΕΩΡΓΙΟΥ» οι δικαιούχοι υποχρεούνται να τα κοινοποιούν στην Ε.Κ.Α.Π.Υ.</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Οι δικαιούχοι οι οποίοι έχουν ενταχθεί, υποβάλλουν στο ΠΣΚΕ αιτήματα πιστοποίησης δαπανών και συμψηφισμού, σύμφωνα με τη διαδικασία που έχει καθοριστεί στην πρόσκληση και με βάση τις παρ. 6 και 7 του παρόντος άρθρου.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Οι δικαιούχοι των οποίων τα αιτήματα ενίσχυσης έχουν ενταχθεί μπορούν να συμψηφίσουν τις απαιτήσεις Clawback περιόδου 2024 και 2025 για τις οποίες έχουν εκδοθεί σημειώματα, άμεσα με την έκδοση της ισόποσης εγγυητικής επιστολής υπέρ των νοσοκομείων του Ε.Σ.Υ. και του Γ.Ν.Θ. «ΠΑΠΑΓΕΩΡΓΙΟΥ» ή της Ε.Κ.Α.Π.Υ. ή του Ε.Ο.Π.ΥΥ. της παρ. 1 με βάση την παρ. 7 του παρόντος άρθρου. Στους δικαιούχους που δεν εκδώσουν εγγυητική επιστολή, ο συμψηφισμός θα γίνεται με βάση τις βεβαιώσεις πιστοποίησης δαπανών σύμφωνα με την παρ. 2 του παρόντος άρθρου. Η τελική εκκαθάριση και στις δύο περιπτώσεις θα γίνεται σύμφωνα με την παρ. 5, με βάση τις εκάστοτε βεβαιώσεις πιστοποίησης της ΓΓΕΚ της παρ 6.</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4.</w:t>
      </w:r>
      <w:r>
        <w:rPr>
          <w:lang w:val="el" w:eastAsia="el"/>
        </w:rPr>
        <w:t xml:space="preserve"> Οι Οικονομικές Υπηρεσίες του Υπουργείου Υγείας κατόπιν εισήγησης της Ε.Κ.Α.Π.Υ. και του Ε.Ο.Π.ΥΥ. με βάση: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Το εγκεκριμένο Τεχνικό Δελτίο του έργου στο Ταμείο Ανάκαμψης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τις αποφάσεις ένταξης των έργων της ΓΓΕΚ και γ) τα σημειώματα clawback προς τους δικαιούχους, αιτούνται, κατά τη διαδικασία που προβλέπεται στο εθνικό Πρόγραμμα Δημοσίων Επενδύσεων, κάθε εξάμηνο με την έκδοση των σημειωμάτων Clawback, την εκταμίευση Ενδιάμεσης Δόσης (Ε.Δ.) η οποία κατατίθεται σε ειδικό τραπεζικό λογαριασμό του Υπουργείου Υγείας.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μέγιστο ποσό της Αρχικής Δόσης (Α.Δ.), των Ενδιάμεσων Δόσεων (Ε.Δ.) και της Τελικής Δόσης (Τ.Δ.) που εκταμιεύεται, υπολογίζεται με βάση τα ποσά συμψηφισμού των σχετικών βεβαιώσεων πιστοποίησης δαπανών από την ΓΓΕΚ και των εγγυητικών επιστολών των δικαιούχων, ως ακολούθως: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Α.Δ. = άθροισμα των εγγυητικών επιστολών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Ε.Δ. = άθροισμα για όλους τους δικαιούχους [ποσό εγγυητικών περιόδου + (ποσό συμψηφισμού των αντίστοιχων βεβαιώσεων περιόδου - εγγυητική προηγούμενης περιόδου)]. Στην περίπτωση που η ως ανωτέρω προκύπτουσα διαφορά του ποσού συμψηφισμού των αντίστοιχων βεβαιώσεων περιόδου - εγγυητική προηγούμενης περιόδου είναι αρνητική, δεν λαμβάνεται υπόψη.</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Τ.Δ. = Π.Π.Σ. - Προηγηθείσες εκταμιεύσεις χρηματοδότησης Πιστοποιηθέν Ποσό Συμψηφισμού Π.Π.Σ.=το άθροισμα των ποσών συμψηφισμού που έχει πιστοποιηθεί.</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Μετά την πάροδο 10 ημερών από την κάθε προθεσμία για την προσκόμιση των υπεύθυνων δηλώσεων για αναστολή και συμψηφισμό της οφειλής clawback από τους δικαιούχους, οι Οικονομικές υπηρεσίες του Υπουργείου Υγείας μεταφέρουν τα αναλογούντα ποσά στον Ε.Ο.Π.ΥΥ, ή στην Ε.Κ.Α.Π.Υ., ή στα Δημόσια Νοσοκομεία και το Γ.Ν.Θ. «ΠΑΠΑΓΕΩΡΓΙΟΥ», που έχουν κάνει την εκκαθάριση με βάση την παρ. 7. Προκειμένου να ολοκληρωθεί η ως άνω μεταφορά, οι Οικονομικές Υπηρεσίες του Υπουργείου εκδίδουν σχετική απόφαση επιχορήγησης, αφού έχουν υποβληθεί από την Ε.Κ.Α.Π.Υ. και τον Ε.Ο.Π.ΥΥ. αναλυτικά τα προς συμψηφισμό ποσά ανά φορέα και φαρμακευτική εταιρεία ή ΚΑΚ καθώς και τα απαιτούμενα δικαιολογητικά ήτοι αντίγραφα εγγυητικών επιστολών και Υπεύθυνων Δηλώσεων. Στην περίπτωση που έχει εκδοθεί από τον δικαιούχο εγγυητική υπέρ του Ελληνικού Δημοσίου ή έχει εκδοθεί βεβαίωση από την ΓΓΕΚ για συμψηφισμό, ο Ε.Ο.Π.ΥΥ., η Ε.Κ.Α.Π.Υ. και τα Δημόσια Νοσοκομεία και το Γ.Ν.Θ. «ΠΑΠΑΓΕΩΡΓΙΟΥ» προχωρούν άμεσα στην πληρωμή ισόποσων τιμολογίων προς τους δικαιούχους.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Με την τελική έκθεση πιστοποίησης και την έκδοση της σχετικής βεβαίωσης, γίνεται εκκαθάριση του συνολικού ποσού συμψηφισμού που αναλογεί στον κάθε δικαιούχο, βάσει της εγκριτικής απόφασης, τυχόν τροποποιήσεων αυτής καθώς και το Πιστοποιηθέν Ποσό Συμψηφισμού του κάθε δικαιούχου (Π.Π.Σ.Δ.) το οποίο ορίζεται ως: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Πιστοποιηθέν Ποσό Συμψηφισμού Δικαιούχου Π.Π.Σ.Δ. = το άθροισμα των ποσών συμψηφισμού που έχει πιστοποιηθεί για τον δικαιούχο στο σύνολο των επαληθεύσεων - πιστοποιήσεων που έχουν διενεργηθεί.</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Με την ολοκλήρωση του έργου ο Δικαιούχος υποβάλει υπεύθυνη δήλωση με την τελική εκκαθάριση προς τις Οικονομικές Υπηρεσίες της Ε.Κ.Α.Π.Υ. ή των Δημοσίων Νοσοκομείων και το Γ.Ν.Θ. «ΠΑΠΑΓΕΩΡΓΙΟΥ» όπου αναφέρονται αναλυτικά τα ποσά συμψηφισμού ανά είδος clawback (νοσοκομειακή δαπάνη ή δαπάνη των Δημόσιων Νοσοκομείων) και του Ε.Ο.Π.ΥΥ. όπου επίσης αναφέρονται αναλυτικά τα ποσά συμψηφισμού ανά είδος clawback (εξώ-νοσοκομειακό ή νοσοκομειακό), βάσει της εγκριτικής απόφασης, τυχόν τροποποιήσεων αυτής και το Π.Π.Σ.Δ.</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Εάν το Π.Π.Σ.Δ. είναι μικρότερο από το ποσό που έχει αιτηθεί ο δικαιούχος με βάση την υπεύθυνη δήλωση της παρ. 1 αναστολής των υποχρεώσεών του και των αντίστοιχων εγγυητικών που έχει εκδώσει, τότε ο δικαιούχος υποχρεούται να πληρώσει τη διαφορά της οφειλής επιβαρυνόμενη με τόκους και προσαυξήσεις από την ημερομηνία της τελευταίας έκδοσης σημειώματος οφειλής προς αυτόν με την οποία κλείνει το τελικό ποσό συμψηφισμού. Σε περίπτωση που το Π.Π.Σ.Δ. του Δικαιούχου υπερβαίνει το ποσό clawback που του αναλογεί, η διαφορά πιστώνεται στον Ε.Ο.Π.ΥΥ. ή στην Ε.Κ.Α.Π.Υ. ή στα Δημόσια Νοσοκομεία αντίστοιχα, και ο δικαιούχος το συμψηφίζει με υποχρεώσεις του.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Για την τεκμηρίωση των δαπανών του άρθρου 4 της παρούσας απαιτείται πιστοποίηση της υλοποίησης των δαπανών από ορκωτό ελεγκτή λογιστή ή ελεγκτική εταιρεία που είναι εγγεγραμμένος/η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Ο τρόπος επαλήθευσης των δαπανών και τα απαραίτητα δικαιολογητικά που απαιτούνται για την πιστοποίηση των δαπανών καθορίζονται στην πρόσκληση, που έχει δημοσιευθεί.</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Μετά την ολοκλήρωση της διαδικασίας ελέγχου και πιστοποίησης,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στις οικονομικές υπηρεσίες του Υπουργείου Υγείας, της Ε.Κ.Α.Π.Υ. ή των Δημόσιων Νοσοκομείων και στον Ε.Ο.Π.ΥΥ.</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Με την έκδοση της βεβαίωσης: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Οι Οικονομικές υπηρεσίες του Υπουργείου Υγείας μεταφέρουν τα αναλογούντα ποσά στα Δημόσια Νοσοκομεία και το Γ.Ν.Θ. «ΠΑΠΑΓΕΩΡΓΙΟΥ», την Ε.Κ.Α.Π.Υ. και τον Ε.Ο.Π.ΥΥ. και αιτούνται στο Ταμείο Ανάκαμψης Ε.Δ. με βάση την παρ. 4 του παρόντος άρθρου.</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Η Ε.Κ.Α.Π.Υ., τα νοσοκομεία του Ε.Σ.Υ., το Γ.Ν.Θ. «ΠΑΠΑΓΕΩΡΓΙΟΥ» ο Ε.Ο.Π.ΥΥ. συμψηφίζουν clawback (έξω-νοσοκομειακό ή νοσοκομειακό), και διαγράφουν απαιτήσεις από την αναστολή της παρ. 1 ή επιστρέφουν εγγυητικές,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w:t>
      </w:r>
      <w:r>
        <w:rPr>
          <w:lang w:val="el" w:eastAsia="el"/>
        </w:rPr>
        <w:t xml:space="preserve"> Με την παραλαβή του εντύπου της επιβολής clawback από τον Ε.Ο.Π.Υ.Υ. ή την Ε.Κ.Α.Π.Υ. ή τα Δημόσια Νοσοκομεία και το Γ.Ν.Θ. «ΠΑΠΑΓΕΩΡΓΙΟΥ», οι δικαιούχοι, καταθέτουν την βεβαίωση της Γ.Γ.Ε.Κ. ή/και την εγγυητική επιστολή της παρ. 1 στον Ε.Ο.Π.Υ.Υ. ή την Ε.Κ.Α.Π.Υ. ή τα Δημόσια Νοσοκομεία και το Γ.Ν.Θ. «ΠΑΠΑΓΕΩΡΓΙΟΥ» ανάλογα με το είδος clawback (έξω-νοσοκομειακό ή νοσοκομειακό) που αναμένουν να συμψηφίσουν.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την Ε.Κ.Α.Π.Υ ή τα Δημόσια Νοσοκομεία και το Γ.Ν.Θ. «ΠΑΠΑΓΕΩΡΓΙΟΥ», η έκδοση της εγγυητικής ή η κατάθεση της βεβαίωσης της Γ.Γ.Ε.Κ. προς στον Ε.Ο.Π.Υ.Υ. ή την Ε.Κ.Α.Π.Υ. ή τα Δημόσια Νοσοκομεία και το Γ.Ν.Θ. «ΠΑΠΑΓΕΩΡΓΙΟΥ», θα συνοδεύεται από υπεύθυνη δήλωση στην οποία θα αναφέρεται το ποσοστό του ποσού της βεβαίωσης της Γ.Γ.Ε.Κ. ή της εγγυητικής που επιθυμεί να συμψηφίσει με κάθε φορέα. Προς τον Ε.Ο.Π.Υ.Υ. θα πρέπει να αναφέρεται τόσο η έξω-νοσοκομειακή δαπάνη όσο και η νοσοκομειακή δαπάνη του. Η υπεύθυνη δήλωση μετά την υποβολή προς τον Ε.Ο.Π.Υ.Υ., όσο και με την Ε.Κ.Α.Π.Υ ή τα Δημόσια Νοσοκομεία και το Γ.Ν.Θ. «ΠΑΠΑΓΕΩΡΓΙΟΥ» δεν επιδέχεται μεταβολής ως προς τα επιλεγόμενα ποσά συμψηφισμού από τον δικαιούχο έναντι του αντίστοιχου αποδέκτη της δήλωσης συμψηφισμού (Ε.Κ.Α.Π.Υ. ή Δημόσια Νοσοκομεία ή το Γ.Ν.Θ. «ΠΑΠΑΓΕΩΡΓΙΟΥ» ή Ε.Ο.Π.Υ.Υ.). Οι δικαιούχοι υποχρεούνται να δηλώνουν στο πλαίσιο της υπεύθυνης δήλωσής τους προς τον Ε.Ο.Π.Υ.Υ., ή την Ε.Κ.Α.Π.Υ ή τα Δημόσια Νοσοκομεία και το Γ.Ν.Θ. «ΠΑΠΑΓΕΩΡΓΙΟΥ» αντιστοίχως, το ποσό που πρόκειται να συμψηφίσουν με καθέναν εκ των ανωτέρω, προκειμένου οι αντίστοιχες Διευθύνσεις Οικονομικών τους να ελέγχουν κατά περιεχόμενο τη συμβατότητα των δηλώσεων συμψηφισμού ως προς το συνολικό άθροισμα των συμψηφιζόμενων ποσών (με όλους τους φορείς) σε σχέση με την εγγυητική επιστολή ή την βεβαίωση της Γενικής Γραμματείας Έρευνας και Καινοτομίας.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Σε περίπτωση που οι δηλώσεις συμψηφισμού προς τον Ε.Ο.Π.Υ.Υ., ή την Ε.Κ.Α.Π.Υ ή τα Δημόσια Νοσοκομεία και το Γ.Ν.Θ. «ΠΑΠΑΓΕΩΡΓΙΟΥ» δεν εξαντλούν το συνολικό ποσό της βεβαίωσης της Γενικής Γραμματείας Έρευνας και Καινοτομίας ή/και της εγγυητικής ή το υπερβαίνουν, ο Ε.Ο.Π.Υ.Υ., ή Ε.Κ.Α.Π.Υ ή τα Δημόσια Νοσοκομεία και το Γ.Ν.Θ. «ΠΑΠΑΓΕΩΡΓΙΟΥ»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Σε ότι αφορά το νοσοκομειακό clawback, η Ε.Κ.Α.Π.Υ ή τα Δημόσια Νοσοκομεία και το Γ.Ν.Θ. «ΠΑΠΑΓΕΩΡΓΙΟΥ» θα προχωρήσουν στον συμψηφισμό του ποσού βεβαίωσης της ΓΓΕΚ ή της εγγυητικής,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βεβαίωσης της ΓΓΕΚ ή της εγγυητικής.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Τα Νοσοκομεία του Ε.Σ.Υ. και το Γ.Ν.Θ. «ΠΑΠΑΓΕΩΡΓΙΟΥ», η Ε.Κ.Α.Π.Υ. και ο Ε.Ο.Π.Υ.Υ. και αφού ολοκληρωθεί η διαδικασία της έκδοσης πιστωτικών τιμολογίων από τους Δικαιούχους για τον καταλογισμό του clawback, λαμβάνοντας υπόψη και το ποσό συμψηφισμού, αποστέλλουν αίτημα χρηματοδότησης από το δεσμευμένο ποσό του επενδυτικού clawback στη Γενική Διεύθυνση Οικονομικών του Υπουργείου Υγείας ισόποσο με την διαφορά που έχει προκόψει από το clawback που έχει καταλογιστεί και αυτό που εν τέλει θα εισπραχθεί λόγω της συμμετοχής των Δικαιούχων στο πρόγραμμα του επενδυτικού clawback και του συμψηφισμού των επενδύσεων αυτών με το καταλογισθέν clawback. Παράλληλα εκδίδονται νέα σημειώματα από τον Ε.Ο.Π.Υ.Υ., με ποσά clawback διακριτά για τη νοσοκομειακή δαπάνη του και από την Ε.Κ.Α.Π.Υ της νοσοκομειακής δαπάνης των Δημόσιων Νοσοκομείων και το Γ.Ν.Θ. «ΠΑΠΑΓΕΩΡΓΙΟΥ», προς τους Δικαιούχους για τη διαγραφή του οφειλόμενου clawback με το ποσό του συμψηφισμού του επενδυτικού clawback ανά νοσοκομείο, χωρίς να απαιτείται η έκδοση νέου παραστατικού από τους Δικαιούχους, πέραν των αρχικών πιστωτικών τιμολογίων για τον καταλογισμό του clawback. Ειδικότερα η Ε.Κ.Α.Π.Υ. κοινοποιεί τα νέα σημειώματα στην Γενική Διεύθυνση Οικονομικών Υπηρεσιών του Υπουργείου Υγείας από τα οποία θα προκύπτει αναλυτικά ανά Νοσοκομείο η απώλεια εσόδου από τον συμψηφισμό έτσι ώστε να επιχορηγηθούν.</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H Γενική Διεύθυνση Οικονομικών του Υπουργείου Υγείας επιχορηγεί τον Ε.Ο.Π.Υ.Υ., την Ε.Κ.Α.Π.Υ. και τα νοσοκομεία του Ε.Σ.Υ. και το Γ.Ν.Θ. «ΠΑΠΑΓΕΩΡΓΙΟΥ» με τα αντίστοιχα συνολικά ποσά βάσει των προαναφερόμενων. Οι υπαγόμενοι στην παρ. 6 του άρθρου 4 της παρούσας δικαιούχοι, με υπεύθυνη δήλωσή τους γνωστοποιούν αρμοδίως το ποσό που πρόκειται να συμψηφισθεί στα εξάμηνα κατ' έτος. Το εν λόγω ποσό προσαυξάνει τις συνολικές πιστώσεις που πρόκειται να διατεθεί ως επιχορήγηση στον Ε.Ο.Π.Υ.Υ., στην Ε.Κ.Α.Π.Υ. και τα Δημόσια νοσοκομεία και το Γ.Ν.Θ. «ΠΑΠΑΓΕΩΡΓΙΟΥ».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Το Υπουργείο Εθνικής Οικονομίας και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clawback, είτε η Γ.Δ.Ο.Υ. του Υπουργείου Υγείας μεριμνά για την ένταξη της σχετικής δαπάνης σε αντίστοιχο έργο.</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Οι Δικαιούχοι φέρουν την ευθύνη της πλήρους και ορθής συμπλήρωσης των αρχείων που συμπεριλαμβάνονται στο αίτημα για το χαρακτηρισμό των δαπανών ως Ε και 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στην Ε.Κ.Α.Π.Υ., στα Νοσοκομεία του Ε.Σ.Υ., στο Γ.Ν.Θ. «ΠΑΠΑΓΕΩΡΓΙΟΥ» και στον Ε.Ο.Π.Υ.Υ. και στις οικονομικές υπηρεσίες του Υπουργείου Υγείας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συμψηφιστέου ποσού.</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8.</w:t>
      </w:r>
      <w:r>
        <w:rPr>
          <w:lang w:val="el" w:eastAsia="el"/>
        </w:rPr>
        <w:t xml:space="preserve"> Στην τελική έκθεση πιστοποίησης των δαπανών οι Κ.Α.Κ. ή οι φαρμακευτικές εταιρείες έχουν την δυνατότητα να υποβάλλουν πρόσθετες επιλέξιμες δαπάνες για το κάθε έργο έως και του 20 % του συνολικού αρχικά εγκεκριμένου προϋπολογισμού της Απόφασης Ένταξης. Στην περίπτωση αυτή, οι φαρμακευτικές εταιρείες υποβάλλουν αιτήματα προς την ΓΓΕΚ αναφέροντας το έργο για το οποίο απαιτείται πρόσθετη χρηματοδότηση, επισυνάπτοντας και τα απαιτούμενα δικαιολογητικά για την τεκμηρίωση των δαπανών, όπως αυτά καθορίζονται στην πρόσκληση που έχει δημοσιευθεί. Η ΓΓΕΚ ελέγχει τα αιτήματα καθώς και την ύπαρξη διαθεσίμων υπολοίπων ποσών προς χρηματοδότηση από το συνολικό εγκεκριμένο προϋπολογισμό από τις πιστώσεις του έργου «Μεταρρύθμιση του συστήματος claw back και συμψηφισμός με ερευνητικές και επενδυτικές δαπάνες» (κωδικός ΟΠΣ ΤΑ 5150266) από το Ταμείο Ανάκαμψης και Ανθεκτικότητας, το οποίο είναι εγγεγραμμένο στην ΣΑΤΑ 091 του ΠΔΕ του Υπουργείου Υγείας και συντάσσει εισήγηση προς τον Γενικό Γραμματέα Έρευνας και Καινοτομίας ο οποίος δέχεται ή απορρίπτει τεκμηριωμένα τις αιτήσεις. Σε περίπτωση που τα διαθέσιμα υπόλοιπα ποσά προς χρηματοδότηση, είναι μικρότερα από το σύνολο των εγκεκριμένων πρόσθετων δαπανών που αιτούνται οι δικαιούχοι, γίνεται αναλογική μείωση αυτών έως το ύψος των διαθεσίμων. Σε περίπτωση αποδοχής της αίτησης εκδίδεται απόφαση τροποποίησης της αρχικής εγκριτικής απόφασης του Γενικού Γραμματέα Έρευνας και Καινοτομίας του άρθρου 5 της παρούσας κοινής υπουργικής απόφασης, μόνο ως προς την αύξηση του προϋπολογισμού του έργου.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clawback,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 Διευθυντή, κ.λπ.) και τους φακέλους τεκμηρίωσης που κατατέθηκαν στη Γενική Γραμματεία Έρευνας και Καινοτομίας του Υπουργείου Ανάπτυξης για την εκτέλεση των Έργων Ε και Α και για την υλοποίηση των Επενδυτικών Σχεδίων, για όσο χρονικό διάστημα ορίζεται από τις διατάξεις των ν. 4172/2013 (Α’ 167), ν. 4712/2020 (Α’ 146) και ν. 4308/2014 (Α’ 251).</w:t>
      </w:r>
    </w:p>
    <w:p>
      <w:pPr>
        <w:spacing w:before="240" w:after="240"/>
        <w:rPr>
          <w:lang w:val="el" w:eastAsia="el"/>
        </w:rPr>
      </w:pPr>
      <w:r>
        <w:rPr>
          <w:lang w:val="el" w:eastAsia="el"/>
        </w:rPr>
        <w:t>2) Ο δικαιούχος οφείλει να υλοποιήσει τουλάχιστον το 60% του φυσικού και οικονομικού αντικειμένου του έργου με βάση την έκδοση των αποφάσεων ένταξης του άρθρου 5. Σε αντίθετη περίπτωση, ο δικαιούχος δεν έχει δικαίωμα συμψηφισμού clawback. Στην περίπτωση κατά την οποία δικαιούχος έχει συμψηφίσει clawback στο πλαίσιο των ενδιάμεσων πιστοποιήσεων του έργου του, ανακαλούνται οι χορηγηθείσες βεβαιώσεις, ενημερώνεται το Υπουργείο Υγείας και ο Ε.Ο.Π.Υ.Υ. Ο δικαιούχος υποχρεούται σε ολική επιστροφή του ποσού της ενίσχυσης, εντόκως από την ημερομηνία συμψηφισμού.</w:t>
      </w:r>
    </w:p>
    <w:p>
      <w:pPr>
        <w:spacing w:before="240" w:after="240"/>
        <w:rPr>
          <w:lang w:val="el" w:eastAsia="el"/>
        </w:rPr>
      </w:pPr>
      <w:r>
        <w:rPr>
          <w:lang w:val="el" w:eastAsia="el"/>
        </w:rPr>
        <w:t>3)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απόφαση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 υπουργική απόφαση,</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κοινή υπουργική απόφαση,</w:t>
      </w:r>
    </w:p>
    <w:p>
      <w:pPr>
        <w:spacing w:before="240" w:after="240"/>
        <w:rPr>
          <w:lang w:val="el" w:eastAsia="el"/>
        </w:rPr>
      </w:pPr>
      <w:r>
        <w:rPr>
          <w:lang w:val="el" w:eastAsia="el"/>
        </w:rPr>
        <w:t>ζ. να επιβεβαιώνουν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 (της παρ. 16 του άρθρου 14).</w:t>
      </w:r>
    </w:p>
    <w:p>
      <w:pPr>
        <w:spacing w:before="240" w:after="240"/>
        <w:rPr>
          <w:lang w:val="el" w:eastAsia="el"/>
        </w:rPr>
      </w:pPr>
      <w:r>
        <w:rPr>
          <w:lang w:val="el" w:eastAsia="el"/>
        </w:rPr>
        <w:t>3) Οι Δικαιούχοι των επενδυτικών σχεδίων που εντάσσονται στις διατάξεις της παρούσης,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 και Α και των Επενδυτικών Σχεδίων, που συμψηφίζονται από τον Δικαιούχο, πρέπει να είναι αυτοχρηματοδοτούμενες.</w:t>
      </w:r>
    </w:p>
    <w:p>
      <w:pPr>
        <w:spacing w:before="240" w:after="240"/>
        <w:rPr>
          <w:lang w:val="el" w:eastAsia="el"/>
        </w:rPr>
      </w:pPr>
      <w:r>
        <w:rPr>
          <w:lang w:val="el" w:eastAsia="el"/>
        </w:rPr>
        <w:t>5) Οι δικαιούχοι θα πρέπει να τηρούν τις υποχρεώσεις των άρθρων 8 και 9 του ΓΑΚ για την τήρηση των ορίων σώρευσης αφενός και για τις υποχρεώσεις δημοσιότητας αφετέρου. Η Γενική Γραμματεία Έρευνας και Καινοτομίας του Υπουργείου Ανάπτυξης διασφαλίζει την τήρηση των ως άνω υποχρεώσεων.</w:t>
      </w:r>
    </w:p>
    <w:p>
      <w:pPr>
        <w:spacing w:before="240" w:after="240"/>
        <w:rPr>
          <w:lang w:val="el" w:eastAsia="el"/>
        </w:rPr>
      </w:pPr>
      <w:r>
        <w:rPr>
          <w:lang w:val="el" w:eastAsia="el"/>
        </w:rPr>
        <w:t>6) Για τα επενδυτικά έργα η συμμετοχή του δικαιούχου πρέπει να ανέρχεται τουλάχιστον στο 25% των επιλέξιμων δαπανών και με μορφή που δεν εμπεριέχει στοιχεία κρατικής στήριξης.</w:t>
      </w:r>
    </w:p>
    <w:p>
      <w:pPr>
        <w:spacing w:before="240" w:after="240"/>
        <w:rPr>
          <w:lang w:val="el" w:eastAsia="el"/>
        </w:rPr>
      </w:pPr>
      <w:r>
        <w:rPr>
          <w:lang w:val="el" w:eastAsia="el"/>
        </w:rPr>
        <w:t>Οι περιφερειακές ενισχύσεις για ερευνητικές υποδομές χορηγούνται μόνον αν συνοδεύονται από την υποχρέωση παροχής πρόσβασης στις ενισχυόμενες υποδομές σε διαφανή βάση και χωρίς διακρίσεις, σύμφωνα με τα προβλεπόμενα στο σημείο 11 του άρθρου 14 του υπ’ αρ. 651/2014 Κανονισμού (ΕΕ).</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Οκτωβρίου 2023</w:t>
      </w:r>
    </w:p>
    <w:p>
      <w:pPr>
        <w:spacing w:before="240" w:after="240"/>
        <w:rPr>
          <w:lang w:val="el" w:eastAsia="el"/>
        </w:rPr>
      </w:pPr>
      <w:r>
        <w:rPr>
          <w:lang w:val="el" w:eastAsia="el"/>
        </w:rPr>
        <w:t> </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Υγείας</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Β1β,Β2/οικ. 60165/2024 22.11.2024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