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w:t>
      </w:r>
    </w:p>
    <w:p>
      <w:pPr>
        <w:pStyle w:val="PreambelText"/>
        <w:spacing w:before="240" w:after="240"/>
        <w:rPr>
          <w:lang w:val="el" w:eastAsia="el"/>
        </w:rPr>
      </w:pPr>
      <w:r>
        <w:rPr>
          <w:b/>
          <w:bCs/>
          <w:lang w:val="el" w:eastAsia="el"/>
        </w:rPr>
        <w:t>&amp; ΕΠΙΣΤΡΟΦΩΝ ΤΜΗΜΑ Α΄</w:t>
      </w:r>
    </w:p>
    <w:p>
      <w:pPr>
        <w:pStyle w:val="PreambelText"/>
        <w:spacing w:before="240" w:after="240"/>
        <w:rPr>
          <w:lang w:val="el" w:eastAsia="el"/>
        </w:rPr>
      </w:pPr>
      <w:r>
        <w:rPr>
          <w:b/>
          <w:bCs/>
          <w:lang w:val="el" w:eastAsia="el"/>
        </w:rPr>
        <w:t>Τηλέφωνο: 2103630573, 3635963</w:t>
      </w:r>
    </w:p>
    <w:p>
      <w:pPr>
        <w:pStyle w:val="PreambelText"/>
        <w:spacing w:before="240" w:after="240"/>
        <w:rPr>
          <w:lang w:val="el" w:eastAsia="el"/>
        </w:rPr>
      </w:pPr>
      <w:r>
        <w:rPr>
          <w:lang w:val="el" w:eastAsia="el"/>
        </w:rPr>
        <w:t xml:space="preserve">2. </w:t>
      </w:r>
      <w:r>
        <w:rPr>
          <w:b/>
          <w:bCs/>
          <w:lang w:val="el" w:eastAsia="el"/>
        </w:rPr>
        <w:t>ΔΙΕΥΘΥΝΣΗ EΛΕΓΚΤΙΚΩΝ ΔΙΑΔΙΚΑΣΙΩΝ</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Τηλέφωνα: 2131356631, 2131356638</w:t>
      </w:r>
    </w:p>
    <w:p>
      <w:pPr>
        <w:pStyle w:val="PreambelText"/>
        <w:spacing w:before="240" w:after="240"/>
        <w:rPr>
          <w:lang w:val="el" w:eastAsia="el"/>
        </w:rPr>
      </w:pPr>
      <w:r>
        <w:rPr>
          <w:lang w:val="el" w:eastAsia="el"/>
        </w:rPr>
        <w:t xml:space="preserve">2. </w:t>
      </w:r>
      <w:r>
        <w:rPr>
          <w:b/>
          <w:bCs/>
          <w:lang w:val="el" w:eastAsia="el"/>
        </w:rPr>
        <w:t>ΔΙΕΥΘΥΝΣΗ ΑΝΑΠΤΥΞΗΣ</w:t>
      </w:r>
    </w:p>
    <w:p>
      <w:pPr>
        <w:pStyle w:val="PreambelText"/>
        <w:spacing w:before="240" w:after="240"/>
        <w:rPr>
          <w:lang w:val="el" w:eastAsia="el"/>
        </w:rPr>
      </w:pPr>
      <w:r>
        <w:rPr>
          <w:b/>
          <w:bCs/>
          <w:lang w:val="el" w:eastAsia="el"/>
        </w:rPr>
        <w:t>ΦΟΡΟΛΟΓΙΚΩΝ ΕΦΑΡΜΟΓΩΝ</w:t>
      </w:r>
    </w:p>
    <w:p>
      <w:pPr>
        <w:pStyle w:val="PreambelText"/>
        <w:spacing w:before="240" w:after="240"/>
        <w:rPr>
          <w:lang w:val="el" w:eastAsia="el"/>
        </w:rPr>
      </w:pPr>
      <w:r>
        <w:rPr>
          <w:b/>
          <w:bCs/>
          <w:lang w:val="el" w:eastAsia="el"/>
        </w:rPr>
        <w:t>ΤΜΗΜΑΤΑ Α΄ &amp; E΄</w:t>
      </w:r>
    </w:p>
    <w:p>
      <w:pPr>
        <w:pStyle w:val="PreambelText"/>
        <w:spacing w:before="240" w:after="240"/>
        <w:rPr>
          <w:lang w:val="el" w:eastAsia="el"/>
        </w:rPr>
      </w:pPr>
      <w:r>
        <w:rPr>
          <w:b/>
          <w:bCs/>
          <w:lang w:val="el" w:eastAsia="el"/>
        </w:rPr>
        <w:t>Τηλέφωνα: 2131356236</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 101 84 Αθήνα</w:t>
      </w:r>
    </w:p>
    <w:p>
      <w:pPr>
        <w:pStyle w:val="PreambelText"/>
        <w:spacing w:before="240" w:after="240"/>
        <w:rPr>
          <w:lang w:val="el" w:eastAsia="el"/>
        </w:rPr>
      </w:pPr>
      <w:r>
        <w:rPr>
          <w:b/>
          <w:bCs/>
          <w:lang w:val="el" w:eastAsia="el"/>
        </w:rPr>
        <w:t>Κώδικας</w:t>
      </w:r>
    </w:p>
    <w:p>
      <w:pPr>
        <w:pStyle w:val="PreambelText"/>
        <w:spacing w:before="240" w:after="240"/>
        <w:rPr>
          <w:lang w:val="el" w:eastAsia="el"/>
        </w:rPr>
      </w:pPr>
      <w:r>
        <w:rPr>
          <w:b/>
          <w:bCs/>
          <w:lang w:val="el" w:eastAsia="el"/>
        </w:rPr>
        <w:t>ΘΕΜΑ: Τροποποίηση του άρθρου 11 της υπό στοιχεία ΠΟΛ 1274/27.12.2013 απόφασης του Γενικού Γραμματέα Δημοσίων Εσόδων του Υπουργείου Οικονομικών «Αποδεικτικό Ενημερότητας άρθρου 12 ν.4174/2013 (Α΄170), όπως ισχύει» (Β΄3398).</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α) τον Κώδικα Φορολογικής Διαδικασίας (ν.4987/2022, Α΄206), εφεξής Κ.Φ.Δ., και ιδίως το δεύτερο εδάφιο της παρ. 8 του άρθρου 12,</w:t>
      </w:r>
    </w:p>
    <w:p>
      <w:pPr>
        <w:pStyle w:val="StructureList1"/>
        <w:spacing w:before="120" w:after="0"/>
        <w:rPr>
          <w:lang w:val="el" w:eastAsia="el"/>
        </w:rPr>
      </w:pPr>
      <w:r>
        <w:rPr>
          <w:lang w:val="el" w:eastAsia="el"/>
        </w:rPr>
        <w:t>β)</w:t>
      </w:r>
      <w:r>
        <w:rPr>
          <w:lang w:val="en" w:eastAsia="en"/>
        </w:rPr>
        <w:tab/>
      </w:r>
      <w:r>
        <w:rPr>
          <w:b/>
          <w:bCs/>
          <w:lang w:val="el" w:eastAsia="el"/>
        </w:rPr>
        <w:t>το Κεφ.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w:t>
      </w:r>
    </w:p>
    <w:p>
      <w:pPr>
        <w:pStyle w:val="StructureList1"/>
        <w:spacing w:before="120" w:after="0"/>
        <w:rPr>
          <w:lang w:val="el" w:eastAsia="el"/>
        </w:rPr>
      </w:pPr>
      <w:r>
        <w:rPr>
          <w:lang w:val="el" w:eastAsia="el"/>
        </w:rPr>
        <w:t>γ)</w:t>
      </w:r>
      <w:r>
        <w:rPr>
          <w:lang w:val="en" w:eastAsia="en"/>
        </w:rPr>
        <w:tab/>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και τις αποφάσεις υπ’ αρ. 39/3/30.11.2017 (Υ.Ο.Δ.Δ. 689) του Συμβουλίου Διοίκησης της Α.Α.Δ.Ε. και υπό στοιχεία 5294 ΕΞ 2020/17.1.2020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3. </w:t>
      </w:r>
      <w:r>
        <w:rPr>
          <w:b/>
          <w:bCs/>
          <w:lang w:val="el" w:eastAsia="el"/>
        </w:rPr>
        <w:t>Την υπό στοιχεία ΠΟΛ 1274/27.12.2013 απόφαση του Γενικού Γραμματέα Δημοσίων Εσόδων του Υπουργείου Οικονομικών «Αποδεικτικό Ενημερότητας άρθρου 12 ν.4174/2013 (Α΄170), όπως ισχύει» (Β΄3398).</w:t>
      </w:r>
    </w:p>
    <w:p>
      <w:pPr>
        <w:pStyle w:val="PreambelText"/>
        <w:spacing w:before="240" w:after="240"/>
        <w:rPr>
          <w:lang w:val="el" w:eastAsia="el"/>
        </w:rPr>
      </w:pPr>
      <w:r>
        <w:rPr>
          <w:lang w:val="el" w:eastAsia="el"/>
        </w:rPr>
        <w:t xml:space="preserve">4. </w:t>
      </w:r>
      <w:r>
        <w:rPr>
          <w:b/>
          <w:bCs/>
          <w:lang w:val="el" w:eastAsia="el"/>
        </w:rPr>
        <w:t>Την υπό στοιχεία A. 1162/19.10.2023 (Β΄6129) Κοινή Απόφαση του Υφυπουργού Εθνικής Οικονομίας και Οικονομικών και του Διοικητή της ΑΑΔΕ.</w:t>
      </w:r>
    </w:p>
    <w:p>
      <w:pPr>
        <w:pStyle w:val="PreambelText"/>
        <w:spacing w:before="240" w:after="240"/>
        <w:rPr>
          <w:lang w:val="el" w:eastAsia="el"/>
        </w:rPr>
      </w:pPr>
      <w:r>
        <w:rPr>
          <w:lang w:val="el" w:eastAsia="el"/>
        </w:rPr>
        <w:t xml:space="preserve">5. </w:t>
      </w:r>
      <w:r>
        <w:rPr>
          <w:b/>
          <w:bCs/>
          <w:lang w:val="el" w:eastAsia="el"/>
        </w:rPr>
        <w:t>Την ανάγκη εκσυγχρονισμού του πλαισίου έκδοσης του αποδεικτικού ενημερότητας του άρθρου 12 του ΚΦΔ καθώς και τη δυνατότητα ψηφιακής χορήγησής της.</w:t>
      </w:r>
    </w:p>
    <w:p>
      <w:pPr>
        <w:pStyle w:val="PreambelText"/>
        <w:spacing w:before="240" w:after="240"/>
        <w:rPr>
          <w:lang w:val="el" w:eastAsia="el"/>
        </w:rPr>
      </w:pPr>
      <w:r>
        <w:rPr>
          <w:lang w:val="el" w:eastAsia="el"/>
        </w:rPr>
        <w:t xml:space="preserve">6. </w:t>
      </w:r>
      <w:r>
        <w:rPr>
          <w:b/>
          <w:bCs/>
          <w:lang w:val="el" w:eastAsia="el"/>
        </w:rPr>
        <w:t>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Tο άρθρο 11 της υπό στοιχεία ΠΟΛ 1274/2013 απόφασης του Γενικού Γραμματέα Δημοσίων Εσόδων αντικαθίσταται ως εξής:</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Προϋποθέσεις για την εφαρμογή της παρ. 8 του άρθρου 12 του ν. 4987/2022.</w:t>
      </w:r>
    </w:p>
    <w:p>
      <w:pPr>
        <w:spacing w:before="240" w:after="240"/>
        <w:rPr>
          <w:lang w:val="el" w:eastAsia="el"/>
        </w:rPr>
      </w:pPr>
      <w:r>
        <w:rPr>
          <w:b/>
          <w:bCs/>
          <w:lang w:val="el" w:eastAsia="el"/>
        </w:rPr>
        <w:t>Προϋποθέσεις για την εφαρμογή της παρ. 8 του άρθρου 12 του ν. 4987/2022, όπως ισχύει, συνιστούν:</w:t>
      </w:r>
    </w:p>
    <w:p>
      <w:pPr>
        <w:spacing w:before="240" w:after="240"/>
        <w:rPr>
          <w:lang w:val="el" w:eastAsia="el"/>
        </w:rPr>
      </w:pPr>
      <w:r>
        <w:rPr>
          <w:b/>
          <w:bCs/>
          <w:lang w:val="el" w:eastAsia="el"/>
        </w:rPr>
        <w:t>α. Η διαπίστωση οικονομικού εγκλήματος ή μεγάλης έκτασης φοροδιαφυγή, όπως αυτά ορίζονται από την κείμενη νομοθεσία.</w:t>
      </w:r>
    </w:p>
    <w:p>
      <w:pPr>
        <w:spacing w:before="240" w:after="240"/>
        <w:rPr>
          <w:lang w:val="el" w:eastAsia="el"/>
        </w:rPr>
      </w:pPr>
      <w:r>
        <w:rPr>
          <w:b/>
          <w:bCs/>
          <w:lang w:val="el" w:eastAsia="el"/>
        </w:rPr>
        <w:t>β. Στις περιπτώσεις που το αποδεικτικό ενημερότητας ζητείται για μεταβίβαση ακινήτου ή σύσταση εμπράγματου δικαιώματος επ’ αυτού:</w:t>
      </w:r>
    </w:p>
    <w:p>
      <w:pPr>
        <w:spacing w:before="240" w:after="240"/>
        <w:rPr>
          <w:lang w:val="el" w:eastAsia="el"/>
        </w:rPr>
      </w:pPr>
      <w:r>
        <w:rPr>
          <w:lang w:val="el" w:eastAsia="el"/>
        </w:rPr>
        <w:t xml:space="preserve">i. </w:t>
      </w:r>
      <w:r>
        <w:rPr>
          <w:b/>
          <w:bCs/>
          <w:lang w:val="el" w:eastAsia="el"/>
        </w:rPr>
        <w:t>Η ύπαρξη ατομικών μη ληξιπρόθεσμων οφειλών του αιτούντος άνω των δέκα χιλιάδων (10.000) ευρώ, εάν ο αιτών είναι φυσικό πρόσωπο και άνω των πενήντα χιλιάδων (50.000) ευρώ, εάν ο αιτών είναι νομικό πρόσωπο, και εφόσον το ύψος αυτών υπερβαίνει σε ποσοστό το εκατόν είκοσι τοις εκατό (120%) του μεγαλύτερου, κατά την τελευταία τριετία πριν από το έτος υποβολής της αίτησης για έκδοση του αποδεικτικού ενημερότητας, αθροίσματος βασικών ατομικών οφειλών που έχουν βεβαιωθεί ετησίως σε βάρος του αιτούντος.</w:t>
      </w:r>
    </w:p>
    <w:p>
      <w:pPr>
        <w:spacing w:before="240" w:after="240"/>
        <w:rPr>
          <w:lang w:val="el" w:eastAsia="el"/>
        </w:rPr>
      </w:pPr>
      <w:r>
        <w:rPr>
          <w:lang w:val="el" w:eastAsia="el"/>
        </w:rPr>
        <w:t xml:space="preserve">ii. </w:t>
      </w:r>
      <w:r>
        <w:rPr>
          <w:b/>
          <w:bCs/>
          <w:lang w:val="el" w:eastAsia="el"/>
        </w:rPr>
        <w:t>Η ύπαρξη μη ληξιπρόθεσμων οφειλών που έχουν βεβαιωθεί σε βάρος άλλων προσώπων και για τις οποίες ο αιτών το αποδεικτικό έχει ευθύνη για την καταβολή τους, άνω των ανωτέρω ορίων ποσών και εφόσον το ύψος αυτών υπερβαίνει σε ποσοστό το εκατόν είκοσι τοις εκατό (120%) του μεγαλύτερου, κατά την τελευταία τριετία πριν από το έτος υποβολής της αίτησης για έκδοση του αποδεικτικού ενημερότητας, αθροίσματος βασικών ατομικών οφειλών που έχουν βεβαιωθεί ετησίως σε βάρος του πρωτοφειλέτη.</w:t>
      </w:r>
    </w:p>
    <w:p>
      <w:pPr>
        <w:spacing w:before="240" w:after="240"/>
        <w:rPr>
          <w:lang w:val="el" w:eastAsia="el"/>
        </w:rPr>
      </w:pPr>
      <w:r>
        <w:rPr>
          <w:b/>
          <w:bCs/>
          <w:lang w:val="el" w:eastAsia="el"/>
        </w:rPr>
        <w:t>Στο ποσό των ετησίως βεβαιωμένων οφειλών των προηγούμενων εδαφίων δεν συνυπολογίζονται οι υφιστάμενες μη ληξιπρόθεσμες οφειλές και τα ποσά οφειλών που έχουν μειωθεί. Για την εφαρμογή του ορίου των δέκα (10.000) και πενήντα (50.000) χιλιάδων ευρώ αντίστοιχα, το ύψος των μη ληξιπρόθεσμων οφειλών του αιτούντος υπολογίζεται ξεχωριστά ανά πρωτοφειλέτη, φυσικό ή νομικό πρόσωπο, και δεν λαμβάνεται υπ’ όψιν το άθροισμα των μη ληξιπρόθεσμων οφειλών του που τυχόν έχουν βεβαιωθεί σε βάρος περισσότερων του ενός φυσικών ή νομικών προσώπων.</w:t>
      </w:r>
    </w:p>
    <w:p>
      <w:pPr>
        <w:spacing w:before="240" w:after="240"/>
        <w:rPr>
          <w:lang w:val="el" w:eastAsia="el"/>
        </w:rPr>
      </w:pPr>
      <w:r>
        <w:rPr>
          <w:b/>
          <w:bCs/>
          <w:lang w:val="el" w:eastAsia="el"/>
        </w:rPr>
        <w:t>Η παρ. β δεν εφαρμόζεται εφόσον η είσπραξη των μη ληξιπρόθεσμων οφειλών είναι διασφαλισμένη.</w:t>
      </w:r>
    </w:p>
    <w:p>
      <w:pPr>
        <w:spacing w:before="240" w:after="240"/>
        <w:rPr>
          <w:lang w:val="el" w:eastAsia="el"/>
        </w:rPr>
      </w:pPr>
      <w:r>
        <w:rPr>
          <w:b/>
          <w:bCs/>
          <w:lang w:val="el" w:eastAsia="el"/>
        </w:rPr>
        <w:t>γ. Η ύπαρξη ληξιπρόθεσμων οφειλών σε αναστολή που δεν τελούν σε ρύθμιση, μεγαλύτερων των πενήντα χιλιάδων (50.000) ευρώ, εάν το αποδεικτικό ζητείται για είσπραξη χρημάτων.</w:t>
      </w:r>
    </w:p>
    <w:p>
      <w:pPr>
        <w:spacing w:before="240" w:after="240"/>
        <w:rPr>
          <w:lang w:val="el" w:eastAsia="el"/>
        </w:rPr>
      </w:pPr>
      <w:r>
        <w:rPr>
          <w:b/>
          <w:bCs/>
          <w:lang w:val="el" w:eastAsia="el"/>
        </w:rPr>
        <w:t>δ. Διαγραφή οφειλών, λόγω ακύρωσης για τυπικούς λόγους προηγούμενης βεβαίωσης, για το χρονικό διάστημα μέχρι τη νέα βεβαίωση.</w:t>
      </w:r>
    </w:p>
    <w:p>
      <w:pPr>
        <w:spacing w:before="240" w:after="240"/>
        <w:rPr>
          <w:lang w:val="el" w:eastAsia="el"/>
        </w:rPr>
      </w:pPr>
      <w:r>
        <w:rPr>
          <w:b/>
          <w:bCs/>
          <w:lang w:val="el" w:eastAsia="el"/>
        </w:rPr>
        <w:t>ε. Στην περίπτωση που υπάρχουν ενδείξεις σοβαρής φοροδιαφυγής ή απάτης ή οικονομικού εγκλήματος πριν την έκδοση του νόμιμου τίτλου.</w:t>
      </w:r>
    </w:p>
    <w:p>
      <w:pPr>
        <w:spacing w:before="240" w:after="240"/>
        <w:rPr>
          <w:lang w:val="el" w:eastAsia="el"/>
        </w:rPr>
      </w:pPr>
      <w:r>
        <w:rPr>
          <w:b/>
          <w:bCs/>
          <w:lang w:val="el" w:eastAsia="el"/>
        </w:rPr>
        <w:t>στ. Περιπτώσεις κατά τις οποίες κατόπιν χρήσης μεθόδων ανάλυσης κινδύνου πιθανολογείται κίνδυνος για την είσπραξη της οφειλής.</w:t>
      </w:r>
    </w:p>
    <w:p>
      <w:pPr>
        <w:spacing w:before="240" w:after="240"/>
        <w:rPr>
          <w:lang w:val="el" w:eastAsia="el"/>
        </w:rPr>
      </w:pPr>
      <w:r>
        <w:rPr>
          <w:b/>
          <w:bCs/>
          <w:lang w:val="el" w:eastAsia="el"/>
        </w:rPr>
        <w:t>ζ. Λοιπές περιπτώσεις που πληροφορείται η φορολογική διοίκηση με οποιονδήποτε τρόπο την επικείμενη βεβαίωση μεγάλων οφειλών.</w:t>
      </w:r>
    </w:p>
    <w:p>
      <w:pPr>
        <w:spacing w:before="240" w:after="240"/>
        <w:rPr>
          <w:lang w:val="el" w:eastAsia="el"/>
        </w:rPr>
      </w:pPr>
      <w:r>
        <w:rPr>
          <w:b/>
          <w:bCs/>
          <w:lang w:val="el" w:eastAsia="el"/>
        </w:rPr>
        <w:t>Μη ληξιπρόθεσμες οφειλές που προκύπτουν από την επιστροφή της ενίσχυσης της επιστρεπτέας προκαταβολής σύμφωνα με το άρθρο τρίτο της από 30/03/2020 Πράξης Νομοθετικού Περιεχομένου (Α΄75), η οποία κυρώθηκε με το άρθρο 1 του ν. 4684/2020 (Α΄86), και τις κατ’ εξουσιοδότηση αυτού κοινές αποφάσεις των Υπουργών Οικονομικών και Ανάπτυξης και Επενδύσεων δεν λαμβάνονται υπόψη για την εφαρμογή της παρ. 8 του άρθρου 12 του ν. 4987/2022.».</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5. </w:t>
      </w:r>
      <w:r>
        <w:rPr>
          <w:b/>
          <w:bCs/>
          <w:lang w:val="el" w:eastAsia="el"/>
        </w:rPr>
        <w:t>Αποδέκτες πίνακα Β, Ε, ΣΤ, Ζ, Η</w:t>
      </w:r>
    </w:p>
    <w:p>
      <w:pPr>
        <w:spacing w:before="240" w:after="240"/>
        <w:rPr>
          <w:lang w:val="el" w:eastAsia="el"/>
        </w:rPr>
      </w:pPr>
      <w:r>
        <w:rPr>
          <w:lang w:val="el" w:eastAsia="el"/>
        </w:rPr>
        <w:t xml:space="preserve">6. </w:t>
      </w:r>
      <w:r>
        <w:rPr>
          <w:b/>
          <w:bCs/>
          <w:lang w:val="el" w:eastAsia="el"/>
        </w:rPr>
        <w:t>Αποδέκτες πίνακα Θ (εκτός Εθνικού Τυπογραφείου και με την παράκληση το Υπουργείο Δικαιοσύνης να ενημερώσει όλους τους Δικηγορικούς και Συμβολαιογραφικούς Συλλόγους)</w:t>
      </w:r>
    </w:p>
    <w:p>
      <w:pPr>
        <w:spacing w:before="240" w:after="240"/>
        <w:rPr>
          <w:lang w:val="el" w:eastAsia="el"/>
        </w:rPr>
      </w:pPr>
      <w:r>
        <w:rPr>
          <w:lang w:val="el" w:eastAsia="el"/>
        </w:rPr>
        <w:t xml:space="preserve">7. </w:t>
      </w:r>
      <w:r>
        <w:rPr>
          <w:b/>
          <w:bCs/>
          <w:lang w:val="el" w:eastAsia="el"/>
        </w:rPr>
        <w:t>Αποδέκτες Ι, ΙΒ, ΙΔ, ΙΕ, ΙΣΤ</w:t>
      </w:r>
    </w:p>
    <w:p>
      <w:pPr>
        <w:spacing w:before="240" w:after="240"/>
        <w:rPr>
          <w:lang w:val="el" w:eastAsia="el"/>
        </w:rPr>
      </w:pPr>
      <w:r>
        <w:rPr>
          <w:lang w:val="el" w:eastAsia="el"/>
        </w:rPr>
        <w:t xml:space="preserve">8.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Προϊσταμένων Γενικών Διευθύνσεων</w:t>
      </w:r>
    </w:p>
    <w:p>
      <w:pPr>
        <w:spacing w:before="240" w:after="240"/>
        <w:rPr>
          <w:lang w:val="el" w:eastAsia="el"/>
        </w:rPr>
      </w:pPr>
      <w:r>
        <w:rPr>
          <w:lang w:val="el" w:eastAsia="el"/>
        </w:rPr>
        <w:t xml:space="preserve">3. </w:t>
      </w:r>
      <w:r>
        <w:rPr>
          <w:b/>
          <w:bCs/>
          <w:lang w:val="el" w:eastAsia="el"/>
        </w:rPr>
        <w:t>Διεύθυνση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Τελωνειακών Διαδικασιών</w:t>
      </w:r>
    </w:p>
    <w:p>
      <w:pPr>
        <w:spacing w:before="240" w:after="240"/>
        <w:rPr>
          <w:lang w:val="el" w:eastAsia="el"/>
        </w:rPr>
      </w:pPr>
      <w:r>
        <w:rPr>
          <w:lang w:val="el" w:eastAsia="el"/>
        </w:rPr>
        <w:t xml:space="preserve">5. </w:t>
      </w:r>
      <w:r>
        <w:rPr>
          <w:b/>
          <w:bCs/>
          <w:lang w:val="el" w:eastAsia="el"/>
        </w:rPr>
        <w:t>Διεύθυνση Επιχειρησιακών Διαδικασιών</w:t>
      </w:r>
    </w:p>
    <w:p>
      <w:pPr>
        <w:spacing w:before="240" w:after="240"/>
        <w:rPr>
          <w:lang w:val="el" w:eastAsia="el"/>
        </w:rPr>
      </w:pPr>
      <w:r>
        <w:rPr>
          <w:lang w:val="el" w:eastAsia="el"/>
        </w:rPr>
        <w:t xml:space="preserve">6. </w:t>
      </w:r>
      <w:r>
        <w:rPr>
          <w:b/>
          <w:bCs/>
          <w:lang w:val="el" w:eastAsia="el"/>
        </w:rPr>
        <w:t>Διεύθυνση Ανάπτυξης Φορολογικών Εφαρμογών</w:t>
      </w:r>
    </w:p>
    <w:p>
      <w:pPr>
        <w:spacing w:before="240" w:after="240"/>
        <w:rPr>
          <w:lang w:val="el" w:eastAsia="el"/>
        </w:rPr>
      </w:pPr>
      <w:r>
        <w:rPr>
          <w:lang w:val="el" w:eastAsia="el"/>
        </w:rPr>
        <w:t xml:space="preserve">7. </w:t>
      </w:r>
      <w:r>
        <w:rPr>
          <w:b/>
          <w:bCs/>
          <w:lang w:val="el" w:eastAsia="el"/>
        </w:rPr>
        <w:t>Διεύθυνση Ελεγκτικών Διαδικασιών</w:t>
      </w:r>
    </w:p>
    <w:p>
      <w:pPr>
        <w:spacing w:before="240" w:after="240"/>
        <w:rPr>
          <w:lang w:val="el" w:eastAsia="el"/>
        </w:rPr>
      </w:pPr>
      <w:r>
        <w:rPr>
          <w:lang w:val="el" w:eastAsia="el"/>
        </w:rPr>
        <w:t xml:space="preserve">8.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9.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