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Νικηταρά 1 &amp; Εμμ. Μπενάκη 13-15</w:t>
      </w:r>
    </w:p>
    <w:p>
      <w:pPr>
        <w:pStyle w:val="Title"/>
        <w:spacing w:before="120" w:after="360"/>
        <w:rPr>
          <w:lang w:val="el" w:eastAsia="el"/>
        </w:rPr>
      </w:pPr>
      <w:r>
        <w:rPr>
          <w:b/>
          <w:bCs/>
          <w:lang w:val="el" w:eastAsia="el"/>
        </w:rPr>
        <w:t>10184 Αθήνα</w:t>
      </w:r>
    </w:p>
    <w:p>
      <w:pPr>
        <w:pStyle w:val="Title"/>
        <w:spacing w:before="120" w:after="360"/>
        <w:rPr>
          <w:lang w:val="el" w:eastAsia="el"/>
        </w:rPr>
      </w:pPr>
      <w:r>
        <w:rPr>
          <w:b/>
          <w:bCs/>
          <w:lang w:val="el" w:eastAsia="el"/>
        </w:rPr>
        <w:t>2132112805</w:t>
      </w:r>
    </w:p>
    <w:p>
      <w:pPr>
        <w:pStyle w:val="Title"/>
        <w:spacing w:before="120" w:after="360"/>
        <w:rPr>
          <w:lang w:val="el" w:eastAsia="el"/>
        </w:rPr>
      </w:pPr>
      <w:hyperlink r:id="rId4" w:history="1">
        <w:r>
          <w:rPr>
            <w:rStyle w:val="Hyperlink"/>
            <w:b/>
            <w:bCs/>
            <w:color w:val="0000EE"/>
            <w:u w:color="0000EE"/>
            <w:lang w:val="el" w:eastAsia="el"/>
          </w:rPr>
          <w:t>desyp@aade.gr</w:t>
        </w:r>
      </w:hyperlink>
    </w:p>
    <w:p>
      <w:pPr>
        <w:pStyle w:val="Title"/>
        <w:spacing w:before="120" w:after="360"/>
        <w:rPr>
          <w:lang w:val="el" w:eastAsia="el"/>
        </w:rPr>
      </w:pPr>
      <w:r>
        <w:rPr>
          <w:b/>
          <w:bCs/>
          <w:lang w:val="el" w:eastAsia="el"/>
        </w:rPr>
        <w:t>V. ΓΕΝΙΚΗ ΔΙΕΥΘΥΝΣΗ ΗΛΕΚΤΡΟΝΙΚΗΣ ΔΙΑΚΥΒΕΡΝΗΣΗΣ (Γ.Δ.ΗΛΕ.Δ.) ΔΙΕΥΘΥΝΣΗ ΑΝΑΠΤΥΞΗΣ ΤΕΛΩΝΕΙΑΚΩΝ, ΕΛΕΓΚΤΙΚΩΝ ΚΑΙ ΕΠΙΧΕΙΡΗΣΙΑΚΩΝ ΕΦΑΡΜΟΓΩΝ (Δ.Α.Τ.Ε.)</w:t>
      </w:r>
    </w:p>
    <w:p>
      <w:pPr>
        <w:pStyle w:val="Title"/>
        <w:spacing w:before="120" w:after="360"/>
        <w:rPr>
          <w:lang w:val="el" w:eastAsia="el"/>
        </w:rPr>
      </w:pPr>
      <w:r>
        <w:rPr>
          <w:lang w:val="el" w:eastAsia="el"/>
        </w:rPr>
        <w:t xml:space="preserve">1 </w:t>
      </w:r>
      <w:r>
        <w:rPr>
          <w:b/>
          <w:bCs/>
          <w:lang w:val="el" w:eastAsia="el"/>
        </w:rPr>
        <w:t>. ΑΥΤΟΤΕΛΕΣ ΤΜΗΜΑ Ε’ – ΕΛΕΓΚΤΙΚΩΝ ΕΦΑΡΜΟΓΩΝ ΚΑΙ ΕΦΑΡΜΟΓΩΝ Γ.Χ.Κ.</w:t>
      </w:r>
    </w:p>
    <w:p>
      <w:pPr>
        <w:pStyle w:val="Title"/>
        <w:spacing w:before="120" w:after="360"/>
        <w:rPr>
          <w:lang w:val="el" w:eastAsia="el"/>
        </w:rPr>
      </w:pPr>
      <w:r>
        <w:rPr>
          <w:lang w:val="el" w:eastAsia="el"/>
        </w:rPr>
        <w:t xml:space="preserve">2 </w:t>
      </w:r>
      <w:r>
        <w:rPr>
          <w:b/>
          <w:bCs/>
          <w:lang w:val="el" w:eastAsia="el"/>
        </w:rPr>
        <w:t>.ΑΥΤΟΤΕΛΕΣ ΤΜΗΜΑ Ζ’ – ΕΦΑΡΜΟΓΩΝ ΠΟΛΥΚΑΝΑΛΙΚΗΣ</w:t>
      </w:r>
    </w:p>
    <w:p>
      <w:pPr>
        <w:pStyle w:val="Title"/>
        <w:spacing w:before="120" w:after="360"/>
        <w:rPr>
          <w:lang w:val="el" w:eastAsia="el"/>
        </w:rPr>
      </w:pPr>
      <w:r>
        <w:rPr>
          <w:b/>
          <w:bCs/>
          <w:lang w:val="el" w:eastAsia="el"/>
        </w:rPr>
        <w:t xml:space="preserve">Πειραιώς 72 &amp; Πύργου 18346 Μοσχάτο 2131356311 </w:t>
      </w:r>
      <w:hyperlink r:id="rId5" w:history="1">
        <w:r>
          <w:rPr>
            <w:rStyle w:val="Hyperlink"/>
            <w:b/>
            <w:bCs/>
            <w:color w:val="0000EE"/>
            <w:u w:color="0000EE"/>
            <w:lang w:val="el" w:eastAsia="el"/>
          </w:rPr>
          <w:t>date@aade.gr</w:t>
        </w:r>
      </w:hyperlink>
    </w:p>
    <w:p>
      <w:pPr>
        <w:pStyle w:val="Title"/>
        <w:spacing w:before="120" w:after="360"/>
        <w:rPr>
          <w:lang w:val="el" w:eastAsia="el"/>
        </w:rPr>
      </w:pPr>
      <w:r>
        <w:rPr>
          <w:b/>
          <w:bCs/>
          <w:lang w:val="el" w:eastAsia="el"/>
        </w:rPr>
        <w:t>Θέμα: Καθορισμός της διαδικασίας υποβολής, αξιολόγησης και αξιοποίησης καταγγελιών/πληροφοριών που αφορούν παραβάσεις της φορολογικής και τελωνειακής νομοθεσίας ή περιπτώσεις διαφθοράς με τη θέση σε λειτουργία της εφαρμογής «Καταγγελίες Πολιτών» της Ανεξάρτητης Αρχής Δημοσίων Εσόδων (ΑΑΔΕ) και λοιπά συναφή θέματα.</w:t>
      </w:r>
    </w:p>
    <w:p>
      <w:pPr>
        <w:pStyle w:val="enacting"/>
        <w:spacing w:before="120" w:after="0"/>
        <w:rPr>
          <w:lang w:val="el" w:eastAsia="el"/>
        </w:rPr>
      </w:pPr>
      <w:r>
        <w:rPr>
          <w:b/>
          <w:bCs/>
          <w:lang w:val="el" w:eastAsia="el"/>
        </w:rPr>
        <w:t>ΠΕΡΙΛΗΨΗ ΑΠΟΦΑΣΗΣ</w:t>
      </w:r>
      <w:r>
        <w:rPr>
          <w:b/>
          <w:bCs/>
          <w:u w:val="single"/>
          <w:lang w:val="el" w:eastAsia="el"/>
        </w:rPr>
        <w:t>Α) ΑΝΤΙΚΕΙΜΕΝΟ</w:t>
      </w:r>
    </w:p>
    <w:p>
      <w:pPr>
        <w:pStyle w:val="PreambelText"/>
        <w:spacing w:before="240" w:after="240"/>
        <w:rPr>
          <w:lang w:val="el" w:eastAsia="el"/>
        </w:rPr>
      </w:pPr>
      <w:r>
        <w:rPr>
          <w:b/>
          <w:bCs/>
          <w:lang w:val="el" w:eastAsia="el"/>
        </w:rPr>
        <w:t>Ο καθορισμός του τρόπου υποβολής των καταγγελιών/πληροφοριών προςτην ΑΑΔΕ, κατόπιν θέσης σε λειτουργία της εφαρμογής «Καταγγελίες Πολιτών» με σκοπό την καταγραφή, αξιοποίηση και παρακολούθησή τους στο ειδικό Ολοκληρωμένο Πληροφοριακό Σύστημα της ΑΑΔΕ.</w:t>
      </w:r>
    </w:p>
    <w:p>
      <w:pPr>
        <w:pStyle w:val="enacting"/>
        <w:spacing w:before="120" w:after="0"/>
        <w:rPr>
          <w:lang w:val="el" w:eastAsia="el"/>
        </w:rPr>
      </w:pPr>
      <w:r>
        <w:rPr>
          <w:b/>
          <w:bCs/>
          <w:u w:val="single"/>
          <w:lang w:val="el" w:eastAsia="el"/>
        </w:rPr>
        <w:t>Β) ΠΕΡΙΕΧΟΜΕΝΟ</w:t>
      </w:r>
    </w:p>
    <w:p>
      <w:pPr>
        <w:pStyle w:val="PreambelText"/>
        <w:spacing w:before="240" w:after="240"/>
        <w:rPr>
          <w:lang w:val="el" w:eastAsia="el"/>
        </w:rPr>
      </w:pPr>
      <w:r>
        <w:rPr>
          <w:b/>
          <w:bCs/>
          <w:lang w:val="el" w:eastAsia="el"/>
        </w:rPr>
        <w:t>Με την παρούσα απόφαση καθορίζεται ο τρόπος υποβολής, διαχείρισης αξιολόγησης και αξιοποίησης των καταγγελιών/πληροφοριών προς την ΑΑΔΕ για τη διερεύνηση, αποκάλυψη και καταπολέμηση φαινομένων φοροαποφυγής, φοροδιαφυγής, λαθρεμπορίας και διαφθοράς.</w:t>
      </w:r>
    </w:p>
    <w:p>
      <w:pPr>
        <w:pStyle w:val="enacting"/>
        <w:spacing w:before="120" w:after="0"/>
        <w:rPr>
          <w:lang w:val="el" w:eastAsia="el"/>
        </w:rPr>
      </w:pPr>
      <w:r>
        <w:rPr>
          <w:b/>
          <w:bCs/>
          <w:u w:val="single"/>
          <w:lang w:val="el" w:eastAsia="el"/>
        </w:rPr>
        <w:t>Γ) ΠΕΔΙΟ ΕΦΑΡΜΟΓΗΣ</w:t>
      </w:r>
    </w:p>
    <w:p>
      <w:pPr>
        <w:pStyle w:val="PreambelText"/>
        <w:spacing w:before="240" w:after="240"/>
        <w:rPr>
          <w:lang w:val="el" w:eastAsia="el"/>
        </w:rPr>
      </w:pPr>
      <w:r>
        <w:rPr>
          <w:b/>
          <w:bCs/>
          <w:lang w:val="el" w:eastAsia="el"/>
        </w:rPr>
        <w:t>Η παρούσα απόφαση αφορά στις Υπηρεσίες της ΑΑΔΕ (Φορολογικές, Τελωνειακές, Διεύθυνση Εσωτερικών Υποθέσεων), καθώς και ιδιώτες και λοιπούς φορείς.</w:t>
      </w:r>
    </w:p>
    <w:p>
      <w:pPr>
        <w:pStyle w:val="enacting"/>
        <w:spacing w:before="120" w:after="0"/>
        <w:rPr>
          <w:lang w:val="el" w:eastAsia="el"/>
        </w:rPr>
      </w:pPr>
      <w:r>
        <w:rPr>
          <w:b/>
          <w:bCs/>
          <w:lang w:val="el" w:eastAsia="el"/>
        </w:rPr>
        <w:t>Α Π Ο Φ Α Σ 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υποπερ. ιθ) και κ) της παρ. 2 του άρθρου 2, του άρθρου 7, της παρ.1 του άρθρου 14 και του άρθρου 41 αυτού,</w:t>
      </w:r>
    </w:p>
    <w:p>
      <w:pPr>
        <w:pStyle w:val="StructureList1"/>
        <w:spacing w:before="120" w:after="0"/>
        <w:rPr>
          <w:lang w:val="el" w:eastAsia="el"/>
        </w:rPr>
      </w:pPr>
      <w:r>
        <w:rPr>
          <w:lang w:val="el" w:eastAsia="el"/>
        </w:rPr>
        <w:t>β)</w:t>
      </w:r>
      <w:r>
        <w:rPr>
          <w:lang w:val="en" w:eastAsia="en"/>
        </w:rPr>
        <w:tab/>
      </w:r>
      <w:r>
        <w:rPr>
          <w:b/>
          <w:bCs/>
          <w:lang w:val="el" w:eastAsia="el"/>
        </w:rPr>
        <w:t>του Κώδικα Φορολογικής Διαδικασίας (ν.4987/2022, Α’ 206), γ) της υπό στοιχεία Δ. ΟΡΓ. 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 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3. </w:t>
      </w:r>
      <w:r>
        <w:rPr>
          <w:b/>
          <w:bCs/>
          <w:lang w:val="el" w:eastAsia="el"/>
        </w:rPr>
        <w:t>Το από 21.07.2023 μήνυμα ηλεκτρονικής αλληλογραφίας του Προϊσταμένου της Διεύθυνσης Προγραμματισμού και Αξιολόγησης Ελέγχων και Ερευνών (ΔΙΠΑΕΕ) με θέμα «Εφαρμογή καταγγελίες πολιτών ΑΑΔΕ».</w:t>
      </w:r>
    </w:p>
    <w:p>
      <w:pPr>
        <w:pStyle w:val="PreambelText"/>
        <w:spacing w:before="240" w:after="240"/>
        <w:rPr>
          <w:lang w:val="el" w:eastAsia="el"/>
        </w:rPr>
      </w:pPr>
      <w:r>
        <w:rPr>
          <w:lang w:val="el" w:eastAsia="el"/>
        </w:rPr>
        <w:t xml:space="preserve">4. </w:t>
      </w:r>
      <w:r>
        <w:rPr>
          <w:b/>
          <w:bCs/>
          <w:lang w:val="el" w:eastAsia="el"/>
        </w:rPr>
        <w:t>Την ανάγκη καθορισμού και βελτίωσης της διαδικασίας που αφορά στην υποβολή καταγγελιών/πληροφοριών προς την ΑΑΔΕ.</w:t>
      </w:r>
    </w:p>
    <w:p>
      <w:pPr>
        <w:pStyle w:val="PreambelText"/>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Ορίζουμε την πολιτική διαχείρισης καταγγελιών/πληροφοριών της ΑΑΔΕ, τη διαδικασία υποβολής τους, τη διαδικασία αξιολόγησης, τον τρόπο αξιοποίησής τους, καθώς και κάθε άλλη σχετική αναγκαία λεπτομέρεια,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υποβολής καταγγελιών/πληροφοριών</w:t>
      </w:r>
    </w:p>
    <w:p>
      <w:pPr>
        <w:pStyle w:val="MainText"/>
        <w:spacing w:before="120" w:after="0"/>
        <w:rPr>
          <w:lang w:val="el" w:eastAsia="el"/>
        </w:rPr>
      </w:pPr>
      <w:r>
        <w:rPr>
          <w:b/>
          <w:bCs/>
          <w:lang w:val="el" w:eastAsia="el"/>
        </w:rPr>
        <w:t>1.</w:t>
      </w:r>
      <w:r>
        <w:rPr>
          <w:lang w:val="el" w:eastAsia="el"/>
        </w:rPr>
        <w:t xml:space="preserve"> </w:t>
      </w:r>
      <w:r>
        <w:rPr>
          <w:b/>
          <w:bCs/>
          <w:lang w:val="el" w:eastAsia="el"/>
        </w:rPr>
        <w:t>Καταγγελίες/πληροφορίες που αφορούν παραβάσεις της φορολογικής και τελωνειακής νομοθεσίας ή αφορούν περιπτώσεις διαφθοράς υπαλλήλων της ΑΑΔΕ υποβάλλονται ψηφιακά από φυσικά πρόσωπα, είτε ανώνυμα (χωρίς τη χρήση των κωδικών TAXISNET), είτε επώνυμα (με τη χρήση των κωδικών TAXISNET), καθώς και από τα νομικά πρόσωπα ή οντότητες μέσω των εκπροσώπων τους. Ως επώνυμες, νοούνται οι καταγγελίες/πληροφορίες των οποίων τα στοιχεία του καταγγέλλοντος (ονοματεπώνυμο, ΑΔΤ, διαβατήριο ή άλλο νομιμοποιητικό έγγραφο) δύνανται είτε να ταυτοποιηθούν από την Υπηρεσία με έλεγχο ταυτοπροσωπίας από αρμόδιο υπάλληλο, είτε αυτόματα, κατά την υποβολή της καταγγελίας/πληροφορίας στην ψηφιακή πλατφόρμα με τη χρήση των κωδικών TAXISNET. Σε κάθε άλλη περίπτωση οι καταγγελίες/πληροφορίες θεωρούνται ανώνυμες.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 θέση σε παραγωγική λειτουργία της εφαρμογής «Καταγγελίες πολιτών», η οποία είναι διαθέσιμη στην ψηφιακή πύλη myAADE (myaade.gov.gr), η ηλεκτρονική υποβολή καταγγελιών/πληροφοριών προς την ΑΑΔΕ γίνεται αποκλειστικά στην εν λόγω εφαρμογή. Στην περίπτωση αυτή παρέχεται η δυνατότητα υποβολής καταγγελιών/πληροφοριών, κατόπιν επιλογής από τον καταγγέλοντα/παρέχοντα την πληροφόρηση της θεματικής κατηγορίας της καταγγελίας/πληροφορίας, ως κάτωθι:</w:t>
      </w:r>
    </w:p>
    <w:p>
      <w:pPr>
        <w:pStyle w:val="MainText"/>
        <w:spacing w:before="120" w:after="0"/>
        <w:rPr>
          <w:lang w:val="el" w:eastAsia="el"/>
        </w:rPr>
      </w:pPr>
      <w:r>
        <w:rPr>
          <w:b/>
          <w:bCs/>
          <w:lang w:val="el" w:eastAsia="el"/>
        </w:rPr>
        <w:t>1.</w:t>
      </w:r>
      <w:r>
        <w:rPr>
          <w:lang w:val="el" w:eastAsia="el"/>
        </w:rPr>
        <w:t xml:space="preserve"> </w:t>
      </w:r>
      <w:r>
        <w:rPr>
          <w:b/>
          <w:bCs/>
          <w:lang w:val="el" w:eastAsia="el"/>
        </w:rPr>
        <w:t>Διαφθορά – παραβιάσεις ακεραιότητας</w:t>
      </w:r>
    </w:p>
    <w:p>
      <w:pPr>
        <w:pStyle w:val="MainText"/>
        <w:spacing w:before="120" w:after="0"/>
        <w:rPr>
          <w:lang w:val="el" w:eastAsia="el"/>
        </w:rPr>
      </w:pPr>
      <w:r>
        <w:rPr>
          <w:b/>
          <w:bCs/>
          <w:lang w:val="el" w:eastAsia="el"/>
        </w:rPr>
        <w:t>2.</w:t>
      </w:r>
      <w:r>
        <w:rPr>
          <w:lang w:val="el" w:eastAsia="el"/>
        </w:rPr>
        <w:t xml:space="preserve"> </w:t>
      </w:r>
      <w:r>
        <w:rPr>
          <w:b/>
          <w:bCs/>
          <w:lang w:val="el" w:eastAsia="el"/>
        </w:rPr>
        <w:t>Φορολογικές παραβάσεις</w:t>
      </w:r>
    </w:p>
    <w:p>
      <w:pPr>
        <w:pStyle w:val="MainText"/>
        <w:spacing w:before="120" w:after="0"/>
        <w:rPr>
          <w:lang w:val="el" w:eastAsia="el"/>
        </w:rPr>
      </w:pPr>
      <w:r>
        <w:rPr>
          <w:b/>
          <w:bCs/>
          <w:lang w:val="el" w:eastAsia="el"/>
        </w:rPr>
        <w:t>3.</w:t>
      </w:r>
      <w:r>
        <w:rPr>
          <w:lang w:val="el" w:eastAsia="el"/>
        </w:rPr>
        <w:t xml:space="preserve"> </w:t>
      </w:r>
      <w:r>
        <w:rPr>
          <w:b/>
          <w:bCs/>
          <w:lang w:val="el" w:eastAsia="el"/>
        </w:rPr>
        <w:t>Τελωνειακές παραβάσεις</w:t>
      </w:r>
    </w:p>
    <w:p>
      <w:pPr>
        <w:spacing w:before="240" w:after="240"/>
        <w:rPr>
          <w:lang w:val="el" w:eastAsia="el"/>
        </w:rPr>
      </w:pPr>
      <w:r>
        <w:rPr>
          <w:b/>
          <w:bCs/>
          <w:lang w:val="el" w:eastAsia="el"/>
        </w:rPr>
        <w:t>Πριν την έναρξη της διαδικασίας υποβολής καταγγελιών/πληροφοριών στην ως άνω εφαρμογή, διατίθεται για τη διευκόλυνση των πολιτών στην αρχική οθόνη της Εφαρμογής εγχειρίδιο χρήσης αυτής.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χρήσης άλλου ψηφιακού καναλιού για την υποβολή καταγγελίας/ πληροφορίας (π.χ. μήνυμα ηλεκτρονικού ταχυδρομείου), ο/η υποβάλλων/ουσα ενημερώνεται μέσω μηνύματος ηλεκτρονικού ταχυδρομείου (e-mail) για την υποχρέωση ηλεκτρονικής υποβολής, της σχετικής καταγγελίας/πληροφορίας αποκλειστικά μέσω της ψηφιακής εφαρμογής «Καταγγελίες Πολιτών» της ΑΑΔΕ. Σε περίπτωση μη συμμόρφωσης η υποβαλλόμενη καταγγελία/πληροφορία ενδέχεται να μη τύχει επεξεργασίας από την ΑΑΔΕ.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αξιολόγησης</w:t>
      </w:r>
    </w:p>
    <w:p>
      <w:pPr>
        <w:spacing w:before="240" w:after="240"/>
        <w:rPr>
          <w:lang w:val="el" w:eastAsia="el"/>
        </w:rPr>
      </w:pPr>
      <w:r>
        <w:rPr>
          <w:b/>
          <w:bCs/>
          <w:lang w:val="el" w:eastAsia="el"/>
        </w:rPr>
        <w:t>Η διαδικασία αξιολόγησης καταγγελιών/πληροφοριών εξειδικεύεται ανάλογα με τη θεματική τους κατηγορία και αναλύεται στο συνημμένο «Παράρτημα Ροής Διαχείρισης Καταγγελιών/ Πληροφοριών», το οποίο αποτελεί αναπόσπαστο τμήμα της παρούσας και δεν δημοσιεύεται.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Διάρκεια διατήρησης των καταγγελιών/πληροφοριών στο Ο.Π.Σ. Διαχείρισηςκαταγγελιών/πληροφοριών</w:t>
      </w:r>
    </w:p>
    <w:p>
      <w:pPr>
        <w:pStyle w:val="MainText"/>
        <w:spacing w:before="120" w:after="0"/>
        <w:rPr>
          <w:lang w:val="el" w:eastAsia="el"/>
        </w:rPr>
      </w:pPr>
      <w:r>
        <w:rPr>
          <w:b/>
          <w:bCs/>
          <w:lang w:val="el" w:eastAsia="el"/>
        </w:rPr>
        <w:t>1.</w:t>
      </w:r>
      <w:r>
        <w:rPr>
          <w:lang w:val="el" w:eastAsia="el"/>
        </w:rPr>
        <w:t xml:space="preserve"> </w:t>
      </w:r>
      <w:r>
        <w:rPr>
          <w:b/>
          <w:bCs/>
          <w:lang w:val="el" w:eastAsia="el"/>
        </w:rPr>
        <w:t>Οι καταγγελίες/πληροφορίες φορολογικού περιεχομένου, για τις οποίες δεν έχει πραγματοποιηθεί καμία ενέργεια σε ελεγκτικό επίπεδο εντός έξι (6) ετών από την υποβολή τους, μεταφέρονται σε διακριτό ηλεκτρονικό αρχείο, το οποίο τηρείται για λόγους ιστορικότητας ή για τυχόν αξιοποίησή τους κατόπιν συσχετισμού του περιεχομένου τους με νέες καταγγελίες/πληροφορίες. Εφόσον, εντός δέκα (10) ετών από την υποβολή της καταγγελίας/πληροφορίας αυτή δεν έχει αξιοποιηθεί καθ’ οποιονδήποτε τρόπο, διαγράφεται οριστικά από το Ο.Π.Σ. Διαχείρισης καταγγελιών/ πληροφοριών.</w:t>
      </w:r>
    </w:p>
    <w:p>
      <w:pPr>
        <w:pStyle w:val="MainText"/>
        <w:spacing w:before="120" w:after="0"/>
        <w:rPr>
          <w:lang w:val="el" w:eastAsia="el"/>
        </w:rPr>
      </w:pPr>
      <w:r>
        <w:rPr>
          <w:b/>
          <w:bCs/>
          <w:lang w:val="el" w:eastAsia="el"/>
        </w:rPr>
        <w:t>2.</w:t>
      </w:r>
      <w:r>
        <w:rPr>
          <w:lang w:val="el" w:eastAsia="el"/>
        </w:rPr>
        <w:t xml:space="preserve"> </w:t>
      </w:r>
      <w:r>
        <w:rPr>
          <w:b/>
          <w:bCs/>
          <w:lang w:val="el" w:eastAsia="el"/>
        </w:rPr>
        <w:t>Οι καταγγελίες/πληροφορίες τελωνειακού περιεχομένου, για τις οποίες δεν έχει πραγματοποιηθεί καμία ενέργεια σε ελεγκτικό επίπεδο εντός επτά (7) ετών από την υποβολή τους, μεταφέρονται σε διακριτό ηλεκτρονικό αρχείο, το οποίο τηρείται για λόγους ιστορικότητας ή για τυχόν αξιοποίησή τους κατόπιν συσχετισμού του περιεχομένου τους με νέες καταγγελίες/πληροφορίες. Εφόσον, εντός δώδεκα (12) ετών από την υποβολή της καταγγελίας/πληροφορίας αυτή δεν έχει αξιοποιηθεί καθ’ οποιονδήποτε τρόπο, διαγράφεται οριστικά από το Ο.Π.Σ. Διαχείρισης καταγγελιών/ πληροφοριών.</w:t>
      </w:r>
    </w:p>
    <w:p>
      <w:pPr>
        <w:pStyle w:val="MainText"/>
        <w:spacing w:before="120" w:after="0"/>
        <w:rPr>
          <w:lang w:val="el" w:eastAsia="el"/>
        </w:rPr>
      </w:pPr>
      <w:r>
        <w:rPr>
          <w:b/>
          <w:bCs/>
          <w:lang w:val="el" w:eastAsia="el"/>
        </w:rPr>
        <w:t>3.</w:t>
      </w:r>
      <w:r>
        <w:rPr>
          <w:lang w:val="el" w:eastAsia="el"/>
        </w:rPr>
        <w:t xml:space="preserve"> </w:t>
      </w:r>
      <w:r>
        <w:rPr>
          <w:b/>
          <w:bCs/>
          <w:lang w:val="el" w:eastAsia="el"/>
        </w:rPr>
        <w:t>Οι καταγγελίες/πληροφορίες που λαμβάνει η Διεύθυνση Εσωτερικών Υποθέσεων διαγράφονται οριστικά από το Ο.Π.Σ. Διαχείρισης καταγγελιών/πληροφοριών μετά την πάροδο δεκαπέντε (15) ετών από την υποβολή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4Λοιπά θέματα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Εξαιρετικά, σε περίπτωση υποβολής των καταγγελιών/πληροφοριών αυτοπροσώπως ή ταχυδρομικά, η Υπηρεσία υποδοχής τις καταχωρεί υποχρεωτικά στο ΟΠΣ Διαχείρισης καταγγελιών/πληροφοριών. Το έγχαρτο υλικό φυλάσσεται στην Υπηρεσία υποβολής και καταχώρησης της καταγγελίας/πληροφορίας. Κατά την καταχώρηση στο ΟΠΣ Διαχείρισης καταγγελιών/πληροφοριών, εισάγονται ως συνημμένα αρχεία αντίγραφα των εγγράφων της καταγγελίας/πληροφορίας, αφού έχει προηγηθεί σάρωση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Τα οριζόμενα στις υπό στοιχεία Α.1132/30.09.2022 και Α.1106/31.03.2019 αποφάσεις Διοικητή ΑΑΔΕ, ως προς την αξιολόγηση των πληροφοριακών δελτίων μεταξύ των Υπηρεσιών της ΑΑΔΕ ή από τρίτες πηγές (π.χ. από Οικονομική Αστυνομία, ΣΔΟΕ κ.λπ.) εξακολουθούν να ισχύουν.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5Έναρξη Ισχύος</w:t>
      </w:r>
    </w:p>
    <w:p>
      <w:pPr>
        <w:spacing w:before="240" w:after="240"/>
        <w:rPr>
          <w:lang w:val="el" w:eastAsia="el"/>
        </w:rPr>
      </w:pPr>
      <w:r>
        <w:rPr>
          <w:b/>
          <w:bCs/>
          <w:lang w:val="el" w:eastAsia="el"/>
        </w:rPr>
        <w:t>Η παρούσα τίθεται σε ισχύ από τις 30/10/2023.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Ροής Διαχείρισης Καταγγελιών/Πληροφοριών (δεν δημοσιοποιείται και αποστέλλεται στους Αποδέκτες για Ενέργεια με α/α 1-4, στους Αποδέκτες για Κοινοποίηση με α/α 4-6 και στους Αποδέκτες για Εσωτερική Διανομή με α/α 1-6 και 10)</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Εθνικό Τυπογραφείο (για δημοσίευση)</w:t>
      </w:r>
    </w:p>
    <w:p>
      <w:pPr>
        <w:spacing w:before="240" w:after="240"/>
        <w:rPr>
          <w:lang w:val="el" w:eastAsia="el"/>
        </w:rPr>
      </w:pPr>
      <w:r>
        <w:rPr>
          <w:lang w:val="el" w:eastAsia="el"/>
        </w:rPr>
        <w:t xml:space="preserve">6.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Διεύθυνση Προγραμματισμού και Αξιοποίησης Ελέγχων και Ερευνών (ΔΙ.Π.Α.Ε.Ε.)</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Όλες οι Φορολογικές Περιφέρειες</w:t>
      </w:r>
    </w:p>
    <w:p>
      <w:pPr>
        <w:spacing w:before="240" w:after="240"/>
        <w:rPr>
          <w:lang w:val="el" w:eastAsia="el"/>
        </w:rPr>
      </w:pPr>
      <w:r>
        <w:rPr>
          <w:lang w:val="el" w:eastAsia="el"/>
        </w:rPr>
        <w:t xml:space="preserve">7. </w:t>
      </w:r>
      <w:r>
        <w:rPr>
          <w:b/>
          <w:bCs/>
          <w:lang w:val="el" w:eastAsia="el"/>
        </w:rPr>
        <w:t>Αποδέκτες Πινάκα Β’</w:t>
      </w:r>
    </w:p>
    <w:p>
      <w:pPr>
        <w:spacing w:before="240" w:after="240"/>
        <w:rPr>
          <w:lang w:val="el" w:eastAsia="el"/>
        </w:rPr>
      </w:pPr>
      <w:r>
        <w:rPr>
          <w:lang w:val="el" w:eastAsia="el"/>
        </w:rPr>
        <w:t xml:space="preserve">8. </w:t>
      </w:r>
      <w:r>
        <w:rPr>
          <w:b/>
          <w:bCs/>
          <w:lang w:val="el" w:eastAsia="el"/>
        </w:rPr>
        <w:t>Αποδέκτες Πινάκα Ζ’ (οι αριθ. 1 και 7)</w:t>
      </w:r>
    </w:p>
    <w:p>
      <w:pPr>
        <w:spacing w:before="240" w:after="240"/>
        <w:rPr>
          <w:lang w:val="el" w:eastAsia="el"/>
        </w:rPr>
      </w:pPr>
      <w:r>
        <w:rPr>
          <w:lang w:val="el" w:eastAsia="el"/>
        </w:rPr>
        <w:t xml:space="preserve">9. </w:t>
      </w:r>
      <w:r>
        <w:rPr>
          <w:b/>
          <w:bCs/>
          <w:lang w:val="el" w:eastAsia="el"/>
        </w:rPr>
        <w:t>Αποδέκτες Πινάκα Η’ (εκτός των αριθ. 4, 10 και 11)</w:t>
      </w:r>
    </w:p>
    <w:p>
      <w:pPr>
        <w:spacing w:before="240" w:after="240"/>
        <w:rPr>
          <w:lang w:val="el" w:eastAsia="el"/>
        </w:rPr>
      </w:pPr>
      <w:r>
        <w:rPr>
          <w:lang w:val="el" w:eastAsia="el"/>
        </w:rPr>
        <w:t xml:space="preserve">10. </w:t>
      </w:r>
      <w:r>
        <w:rPr>
          <w:b/>
          <w:bCs/>
          <w:lang w:val="el" w:eastAsia="el"/>
        </w:rPr>
        <w:t>Αποδέκτες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Γραφείο Προϊσταμένου της Γενικής Διεύθυνσης Τελωνείων &amp; Ειδικών Φόρων Κατανάλωσης</w:t>
      </w:r>
    </w:p>
    <w:p>
      <w:pPr>
        <w:spacing w:before="240" w:after="240"/>
        <w:rPr>
          <w:lang w:val="el" w:eastAsia="el"/>
        </w:rPr>
      </w:pPr>
      <w:r>
        <w:rPr>
          <w:lang w:val="el" w:eastAsia="el"/>
        </w:rPr>
        <w:t xml:space="preserve">5.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6. </w:t>
      </w:r>
      <w:r>
        <w:rPr>
          <w:b/>
          <w:bCs/>
          <w:lang w:val="el" w:eastAsia="el"/>
        </w:rPr>
        <w:t>Διεύθυνση Εσωτερικών Υποθέσεων</w:t>
      </w:r>
    </w:p>
    <w:p>
      <w:pPr>
        <w:spacing w:before="240" w:after="240"/>
        <w:rPr>
          <w:lang w:val="el" w:eastAsia="el"/>
        </w:rPr>
      </w:pPr>
      <w:r>
        <w:rPr>
          <w:lang w:val="el" w:eastAsia="el"/>
        </w:rPr>
        <w:t xml:space="preserve">7. </w:t>
      </w:r>
      <w:r>
        <w:rPr>
          <w:b/>
          <w:bCs/>
          <w:lang w:val="el" w:eastAsia="el"/>
        </w:rPr>
        <w:t>Διεύθυνση Εφαρμογής Άμεσης Φορολογίας</w:t>
      </w:r>
    </w:p>
    <w:p>
      <w:pPr>
        <w:spacing w:before="240" w:after="240"/>
        <w:rPr>
          <w:lang w:val="el" w:eastAsia="el"/>
        </w:rPr>
      </w:pPr>
      <w:r>
        <w:rPr>
          <w:lang w:val="el" w:eastAsia="el"/>
        </w:rPr>
        <w:t xml:space="preserve">8. </w:t>
      </w:r>
      <w:r>
        <w:rPr>
          <w:b/>
          <w:bCs/>
          <w:lang w:val="el" w:eastAsia="el"/>
        </w:rPr>
        <w:t>Διεύθυνση Εφαρμογής Έμμεσης Φορολογίας</w:t>
      </w:r>
    </w:p>
    <w:p>
      <w:pPr>
        <w:spacing w:before="240" w:after="240"/>
        <w:rPr>
          <w:lang w:val="el" w:eastAsia="el"/>
        </w:rPr>
      </w:pPr>
      <w:r>
        <w:rPr>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lang w:val="el" w:eastAsia="el"/>
        </w:rPr>
        <w:t xml:space="preserve">10. </w:t>
      </w:r>
      <w:r>
        <w:rPr>
          <w:b/>
          <w:bCs/>
          <w:lang w:val="el" w:eastAsia="el"/>
        </w:rPr>
        <w:t>Διεύθυνση Νομικής Υποστήριξης</w:t>
      </w:r>
    </w:p>
    <w:p>
      <w:pPr>
        <w:spacing w:before="240" w:after="240"/>
        <w:rPr>
          <w:lang w:val="el" w:eastAsia="el"/>
        </w:rPr>
      </w:pPr>
      <w:r>
        <w:rPr>
          <w:lang w:val="el" w:eastAsia="el"/>
        </w:rPr>
        <w:t xml:space="preserve">11. </w:t>
      </w:r>
      <w:r>
        <w:rPr>
          <w:b/>
          <w:bCs/>
          <w:lang w:val="el" w:eastAsia="el"/>
        </w:rPr>
        <w:t>Φορολογική και Τελωνειακή Ακαδημία</w:t>
      </w:r>
    </w:p>
    <w:p>
      <w:pPr>
        <w:spacing w:before="240" w:after="240"/>
        <w:rPr>
          <w:lang w:val="el" w:eastAsia="el"/>
        </w:rPr>
      </w:pPr>
      <w:r>
        <w:rPr>
          <w:lang w:val="el" w:eastAsia="el"/>
        </w:rPr>
        <w:t xml:space="preserve">12. </w:t>
      </w:r>
      <w:r>
        <w:rPr>
          <w:b/>
          <w:bCs/>
          <w:lang w:val="el" w:eastAsia="el"/>
        </w:rPr>
        <w:t>Διεύθυνση Ελεγκτικών Διαδικασιών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yp@aade.gr" TargetMode="External" /><Relationship Id="rId5" Type="http://schemas.openxmlformats.org/officeDocument/2006/relationships/hyperlink" Target="mailto:date@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