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Τροποποίηση 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(Β΄4516 και Β΄4606).</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lang w:val="el" w:eastAsia="el"/>
        </w:rPr>
        <w:t>δ)</w:t>
      </w:r>
      <w:r>
        <w:rPr>
          <w:lang w:val="en" w:eastAsia="en"/>
        </w:rPr>
        <w:tab/>
      </w:r>
      <w:r>
        <w:rPr>
          <w:b/>
          <w:bCs/>
          <w:lang w:val="el" w:eastAsia="el"/>
        </w:rPr>
        <w:t>της παρ. 10 του άρθρου 12 του ν. 4308/2014 (Α΄ 251),</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στ)</w:t>
      </w:r>
      <w:r>
        <w:rPr>
          <w:lang w:val="en" w:eastAsia="en"/>
        </w:rPr>
        <w:tab/>
      </w:r>
      <w:r>
        <w:rPr>
          <w:b/>
          <w:bCs/>
          <w:lang w:val="el" w:eastAsia="el"/>
        </w:rPr>
        <w:t>της Α.Υ.Ο.Ο. ΠΟΛ. 1015/10.1.2012 «Χρονικά όρια δυνατότητας διάθεσης ΦΗΜ και φορολογικών μνημών» (Β΄257),</w:t>
      </w:r>
    </w:p>
    <w:p>
      <w:pPr>
        <w:pStyle w:val="StructureList1"/>
        <w:spacing w:before="120" w:after="0"/>
        <w:rPr>
          <w:lang w:val="el" w:eastAsia="el"/>
        </w:rPr>
      </w:pPr>
      <w:r>
        <w:rPr>
          <w:lang w:val="el" w:eastAsia="el"/>
        </w:rPr>
        <w:t>ζ)</w:t>
      </w:r>
      <w:r>
        <w:rPr>
          <w:lang w:val="en" w:eastAsia="en"/>
        </w:rPr>
        <w:tab/>
      </w:r>
      <w:r>
        <w:rPr>
          <w:b/>
          <w:bCs/>
          <w:lang w:val="el" w:eastAsia="el"/>
        </w:rPr>
        <w:t>της Α.Υ.Ο.Ο. ΠΟΛ. 1063/26.3.2008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w:t>
      </w:r>
    </w:p>
    <w:p>
      <w:pPr>
        <w:pStyle w:val="StructureList1"/>
        <w:spacing w:before="120" w:after="0"/>
        <w:rPr>
          <w:lang w:val="el" w:eastAsia="el"/>
        </w:rPr>
      </w:pPr>
      <w:r>
        <w:rPr>
          <w:lang w:val="el" w:eastAsia="el"/>
        </w:rPr>
        <w:t>η)</w:t>
      </w:r>
      <w:r>
        <w:rPr>
          <w:lang w:val="en" w:eastAsia="en"/>
        </w:rPr>
        <w:tab/>
      </w:r>
      <w:r>
        <w:rPr>
          <w:b/>
          <w:bCs/>
          <w:lang w:val="el" w:eastAsia="el"/>
        </w:rPr>
        <w:t>της Α.Υ.Ο.Ο. ΠΟΛ. 1234/9.10.2002 «Τεχνικές προδιαγραφές φορολογικών ηλεκτρονικών μηχανισμών και συστημάτων» (Β΄1362),</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Φ.Η.Μ.»(Β΄497),</w:t>
      </w:r>
    </w:p>
    <w:p>
      <w:pPr>
        <w:pStyle w:val="StructureList1"/>
        <w:spacing w:before="120" w:after="0"/>
        <w:rPr>
          <w:lang w:val="el" w:eastAsia="el"/>
        </w:rPr>
      </w:pPr>
      <w:r>
        <w:rPr>
          <w:lang w:val="el" w:eastAsia="el"/>
        </w:rPr>
        <w:t>ιβ)</w:t>
      </w:r>
      <w:r>
        <w:rPr>
          <w:lang w:val="en" w:eastAsia="en"/>
        </w:rPr>
        <w:tab/>
      </w:r>
      <w:r>
        <w:rPr>
          <w:b/>
          <w:bCs/>
          <w:lang w:val="el" w:eastAsia="el"/>
        </w:rPr>
        <w:t>της υπ΄αρ.1/20.1.2016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2. </w:t>
      </w:r>
      <w:r>
        <w:rPr>
          <w:b/>
          <w:bCs/>
          <w:lang w:val="el" w:eastAsia="el"/>
        </w:rPr>
        <w:t>Την ανάγκη παροχής πρόσθετου χρόνου για τη διευκόλυνση των φορολογουμένων ως προς την εκπλήρωση της υποχρέωσης απόσυρσης και οριστικής παύσης χρήσης όλων των ΕΑΦΔΣΣ, στις οποίες περιλαμβάνονται και αυτές που χρησιμοποιούνται από τις οντότητες εστίασης, οι οποίες λειτουργούν με σερβίρισμα σε τραπεζοκαθίσματα, με σκοπό τη διασφάλιση της αυθεντικότητας και της ακεραιότητας των εκδιδόμενων στοιχείων λιανικής πώλησης, καθώς και την ασφαλή διαβίβαση δεδομένων στο Πληροφοριακό Σύστημα (ΠΣ) ΦΗΜ, σύμφωνα με τα οριζόμενα στην υπό στοιχεία Α.1173/2022 απόφαση του Διοικητή της ΑΑΔΕ.</w:t>
      </w:r>
    </w:p>
    <w:p>
      <w:pPr>
        <w:pStyle w:val="PreambelText"/>
        <w:spacing w:before="240" w:after="240"/>
        <w:rPr>
          <w:lang w:val="el" w:eastAsia="el"/>
        </w:rPr>
      </w:pPr>
      <w:r>
        <w:rPr>
          <w:lang w:val="el" w:eastAsia="el"/>
        </w:rPr>
        <w:t xml:space="preserve">3.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Α.1073/18.5.2023 απόφαση του Διοικητή της Α.Α.Δ.Ε. με θέμα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και Β΄4606),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1 αντικαθίσταται ως εξής: «Οι οντότητες που εκδίδουν τα λογιστικά τους στοιχεία με τη χρήση ΕΑΦΔΣΣ, σύμφωνα με τα οριζόμενα στην υπό στοιχεία ΠΟΛ. 1220/2012 (Β΄3517) απόφαση του Υφυπουργού Οικονομικών ή είναι κάτοχοι αυτών, παύουν τη χρήση αυτών έως και την 29.02.2024 και έχουν υποχρέωση υποβολής δήλωσης οριστικής παύσης τους. Οι ως άνω οντότητες από την 01.03.2024 και εφεξής έχουν την υποχρέωση χρήσης ΦΗΜΑΣ ή υπηρεσιών Παρόχου ηλεκτρονικής έκδοσης στοιχείων λιανικής πώλησης.».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1 του άρθρου 3 αντικαθίσταται ως εξής: «Οι οντότητες εστίασης που λειτουργούν με σερβίρισμα σε τραπεζοκαθίσματα και εκδίδουν τα λογιστικά τους στοιχεία με τη χρήση ΕΑΦΔΣΣ, από την 01.03.2024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Α.1173/2022 Απόφαση του Διοικητή της ΑΑΔΕ ή Παρόχου υπηρεσιών ηλεκτρονικής έκδοσης στοιχείων λιανικής πώλησης.».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τελευταίο εδάφιο του άρθρου 4 καταργείται.</w:t>
      </w:r>
    </w:p>
    <w:p>
      <w:pPr>
        <w:spacing w:before="240" w:after="240"/>
        <w:rPr>
          <w:lang w:val="el" w:eastAsia="el"/>
        </w:rPr>
      </w:pPr>
      <w:r>
        <w:rPr>
          <w:lang w:val="el" w:eastAsia="el"/>
        </w:rPr>
        <w:t xml:space="preserve">4. </w:t>
      </w:r>
      <w:r>
        <w:rPr>
          <w:b/>
          <w:bCs/>
          <w:lang w:val="el" w:eastAsia="el"/>
        </w:rPr>
        <w:t>Η απόφαση αυτή ισχύει από την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t>
      </w:r>
      <w:hyperlink r:id="rId4" w:history="1">
        <w:r>
          <w:rPr>
            <w:rStyle w:val="Hyperlink"/>
            <w:b/>
            <w:bCs/>
            <w:color w:val="0000EE"/>
            <w:u w:color="0000EE"/>
            <w:lang w:val="el" w:eastAsia="el"/>
          </w:rPr>
          <w:t>webmaster.et@et.gr</w:t>
        </w:r>
      </w:hyperlink>
      <w:r>
        <w:rPr>
          <w:b/>
          <w:bCs/>
          <w:lang w:val="el" w:eastAsia="el"/>
        </w:rPr>
        <w:t>‘’)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7. </w:t>
      </w:r>
      <w:r>
        <w:rPr>
          <w:b/>
          <w:bCs/>
          <w:lang w:val="el" w:eastAsia="el"/>
        </w:rPr>
        <w:t>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Όλες τις Δ/νσεις της Γ.Δ.Φ.</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Δ/νση Διαχείρισης Υποδομών – Τμήμα Ε΄</w:t>
      </w:r>
    </w:p>
    <w:p>
      <w:pPr>
        <w:spacing w:before="240" w:after="240"/>
        <w:rPr>
          <w:lang w:val="el" w:eastAsia="el"/>
        </w:rPr>
      </w:pPr>
      <w:r>
        <w:rPr>
          <w:b/>
          <w:bCs/>
          <w:lang w:val="el" w:eastAsia="el"/>
        </w:rPr>
        <w:t xml:space="preserve">6.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