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ΥΠΕΝ/ΕΔΕ</w:t>
      </w:r>
      <w:r>
        <w:rPr>
          <w:lang w:val="el" w:eastAsia="el"/>
        </w:rPr>
        <w:t xml:space="preserve">ΣΠΑ/114572/877 </w:t>
      </w:r>
    </w:p>
    <w:p>
      <w:pPr>
        <w:pStyle w:val="PreambelText"/>
        <w:spacing w:before="240" w:after="240"/>
        <w:rPr>
          <w:lang w:val="el" w:eastAsia="el"/>
        </w:rPr>
      </w:pPr>
      <w:r>
        <w:rPr>
          <w:b/>
          <w:bCs/>
          <w:lang w:val="el" w:eastAsia="el"/>
        </w:rPr>
        <w:t>Τροποποίηση (1η) της υπό στοιχεία ΥΠΕΝ/ΥΔΕΝ/ 47129/720/28.04.2023 κοινής απόφασης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b/>
          <w:bCs/>
          <w:lang w:val="el" w:eastAsia="el"/>
        </w:rPr>
        <w:t>ΟΙ ΥΠΟΥΡΓΟΙ 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 και ιδίως το άρθρο 68 περί προκήρυξης προγραμμάτων εγκατάστασης ηλιοθερμικών συστημάτων, φωτοβολταϊκών συστημάτων και συστημάτων αποθήκευσης.</w:t>
      </w:r>
    </w:p>
    <w:p>
      <w:pPr>
        <w:pStyle w:val="PreambelText"/>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w:t>
      </w:r>
    </w:p>
    <w:p>
      <w:pPr>
        <w:pStyle w:val="PreambelText"/>
        <w:spacing w:before="240" w:after="240"/>
        <w:rPr>
          <w:lang w:val="el" w:eastAsia="el"/>
        </w:rPr>
      </w:pPr>
      <w:r>
        <w:rPr>
          <w:lang w:val="el" w:eastAsia="el"/>
        </w:rPr>
        <w:t>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6.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7. Τον Κανονισμό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(L 352).</w:t>
      </w:r>
    </w:p>
    <w:p>
      <w:pPr>
        <w:pStyle w:val="PreambelText"/>
        <w:spacing w:before="240" w:after="240"/>
        <w:rPr>
          <w:lang w:val="el" w:eastAsia="el"/>
        </w:rPr>
      </w:pPr>
      <w:r>
        <w:rPr>
          <w:lang w:val="el" w:eastAsia="el"/>
        </w:rPr>
        <w:t>8. Τον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9. Την Οδηγία (ΕΕ) 2018/2001 του Ευρωπαϊκού Κοινοβουλίου και του Συμβουλίου, της 11ης Δεκεμβρίου 2018, για την προώθηση της χρήσης ενέργειας από ανανεώσιμες πηγές (L 328).</w:t>
      </w:r>
    </w:p>
    <w:p>
      <w:pPr>
        <w:pStyle w:val="PreambelText"/>
        <w:spacing w:before="240" w:after="240"/>
        <w:rPr>
          <w:lang w:val="el" w:eastAsia="el"/>
        </w:rPr>
      </w:pPr>
      <w:r>
        <w:rPr>
          <w:lang w:val="el" w:eastAsia="el"/>
        </w:rPr>
        <w:t>10. Την ανακοίνωση της Επιτροπής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11.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Ειδικότερες διατάξεις για τις ανανεώσιμες πηγές ενέργειες και την προστασία του περιβάλλοντος» (Α’ 78).</w:t>
      </w:r>
    </w:p>
    <w:p>
      <w:pPr>
        <w:pStyle w:val="PreambelText"/>
        <w:spacing w:before="240" w:after="240"/>
        <w:rPr>
          <w:lang w:val="el" w:eastAsia="el"/>
        </w:rPr>
      </w:pPr>
      <w:r>
        <w:rPr>
          <w:lang w:val="el" w:eastAsia="el"/>
        </w:rPr>
        <w:t>12. Την υπό στοιχεία Υ 2/27.06.2023 απόφαση του Πρωθυπουργού «Καθορισμός σειράς τάξης των Υπουργείων» (Β’ 4162).</w:t>
      </w:r>
    </w:p>
    <w:p>
      <w:pPr>
        <w:pStyle w:val="PreambelText"/>
        <w:spacing w:before="240" w:after="240"/>
        <w:rPr>
          <w:lang w:val="el" w:eastAsia="el"/>
        </w:rPr>
      </w:pPr>
      <w:r>
        <w:rPr>
          <w:lang w:val="el" w:eastAsia="el"/>
        </w:rPr>
        <w:t>13.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16. Το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17. Το π.δ. 142/2017 «Οργανισμός του Υπουργείου Οικονομικών» (Α’ 178).</w:t>
      </w:r>
    </w:p>
    <w:p>
      <w:pPr>
        <w:pStyle w:val="PreambelText"/>
        <w:spacing w:before="240" w:after="240"/>
        <w:rPr>
          <w:lang w:val="el" w:eastAsia="el"/>
        </w:rPr>
      </w:pPr>
      <w:r>
        <w:rPr>
          <w:lang w:val="el" w:eastAsia="el"/>
        </w:rPr>
        <w:t>18.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19.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20.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 και ειδικότερα το τελευταίο εδάφιο του άρθρου 2 αυτής.</w:t>
      </w:r>
    </w:p>
    <w:p>
      <w:pPr>
        <w:pStyle w:val="PreambelText"/>
        <w:spacing w:before="240" w:after="240"/>
        <w:rPr>
          <w:lang w:val="el" w:eastAsia="el"/>
        </w:rPr>
      </w:pPr>
      <w:r>
        <w:rPr>
          <w:lang w:val="el" w:eastAsia="el"/>
        </w:rPr>
        <w:t>21. Τον Κώδικα Είσπραξης Δημοσίων Εσόδων (ν. 4978/2022, Α’ 190).</w:t>
      </w:r>
    </w:p>
    <w:p>
      <w:pPr>
        <w:pStyle w:val="PreambelText"/>
        <w:spacing w:before="240" w:after="240"/>
        <w:rPr>
          <w:lang w:val="el" w:eastAsia="el"/>
        </w:rPr>
      </w:pPr>
      <w:r>
        <w:rPr>
          <w:lang w:val="el" w:eastAsia="el"/>
        </w:rPr>
        <w:t>22. Τον 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w:t>
      </w:r>
    </w:p>
    <w:p>
      <w:pPr>
        <w:pStyle w:val="PreambelText"/>
        <w:spacing w:before="240" w:after="240"/>
        <w:rPr>
          <w:lang w:val="el" w:eastAsia="el"/>
        </w:rPr>
      </w:pPr>
      <w:r>
        <w:rPr>
          <w:lang w:val="el" w:eastAsia="el"/>
        </w:rPr>
        <w:t>23.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24.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25. Τον ν. 4759/2020 «Εκσυγχρονισμός της Χωροταξικής και Πολεοδομικής Νομοθεσίας και άλλες διατάξεις» (Α’ 245).</w:t>
      </w:r>
    </w:p>
    <w:p>
      <w:pPr>
        <w:pStyle w:val="PreambelText"/>
        <w:spacing w:before="240" w:after="240"/>
        <w:rPr>
          <w:lang w:val="el" w:eastAsia="el"/>
        </w:rPr>
      </w:pPr>
      <w:r>
        <w:rPr>
          <w:lang w:val="el" w:eastAsia="el"/>
        </w:rPr>
        <w:t>26.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27.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28.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-Διατάξεις για το νομικό και λειτουργικό διαχωρισμό των κλάδων προμήθειας και διανομής στην αγορά του φυσικού αερίου και άλλες διατάξεις» (Α’ 149).</w:t>
      </w:r>
    </w:p>
    <w:p>
      <w:pPr>
        <w:pStyle w:val="PreambelText"/>
        <w:spacing w:before="240" w:after="240"/>
        <w:rPr>
          <w:lang w:val="el" w:eastAsia="el"/>
        </w:rPr>
      </w:pPr>
      <w:r>
        <w:rPr>
          <w:lang w:val="el" w:eastAsia="el"/>
        </w:rPr>
        <w:t>29.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30.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την παρ. 1 του άρθρου 14Α αυτού, όπως τροποποιήθηκε με το άρθρο 162 του ν. 4759/2020 (Α’ 245).</w:t>
      </w:r>
    </w:p>
    <w:p>
      <w:pPr>
        <w:pStyle w:val="PreambelText"/>
        <w:spacing w:before="240" w:after="240"/>
        <w:rPr>
          <w:lang w:val="el" w:eastAsia="el"/>
        </w:rPr>
      </w:pPr>
      <w:r>
        <w:rPr>
          <w:lang w:val="el" w:eastAsia="el"/>
        </w:rPr>
        <w:t>31. Τον ν. 4270/2014 «Αρχές δημοσιονομικής Υλοποίησης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32. Τον ν. 3471/2006 «Προστασία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33. Την υπό στοιχεία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34. Την υπ’ αρ.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35. Την υπό στοιχεία ΥΠΟΙΚ/159296/13.12.2021 απόφαση του Αναπληρωτή Υπουργού Οικονομικών «Ένταξη του Έργου με τίτλο “Εξοικονομώ κατ’ οίκον - Κύκλοι 2021, 2022 (κωδικός ΟΠΣ ΤΑ 5150059)” στο Ταμείο Ανάκαμψης και Ανθεκτικότητας», όπως τροποποιήθηκε με την υπό στοιχεία ΥΠΟΙΚ/60323/13.04.2023 όμοια απόφαση.</w:t>
      </w:r>
    </w:p>
    <w:p>
      <w:pPr>
        <w:pStyle w:val="PreambelText"/>
        <w:spacing w:before="240" w:after="240"/>
        <w:rPr>
          <w:lang w:val="el" w:eastAsia="el"/>
        </w:rPr>
      </w:pPr>
      <w:r>
        <w:rPr>
          <w:lang w:val="el" w:eastAsia="el"/>
        </w:rPr>
        <w:t>36.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37.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38. Την υπό στοιχεία ΥΠΕΝ/ΔΑΠΕΕΚ/15084/382/ 19.02.2019 απόφαση του Υπουργού Περιβάλλοντος και Ενέργειας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39. Την υπό στοιχεία ΥΠΕΝ/ΔΑΠΕΕΚ/74999/3024/ 06.08.2021 απόφαση του Υπουργού Περιβάλλοντος και Ενέργειας «Τροποποίηση της υπό στοιχεία ΥΠΕΝ/ 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 (Β’ 3971).</w:t>
      </w:r>
    </w:p>
    <w:p>
      <w:pPr>
        <w:pStyle w:val="PreambelText"/>
        <w:spacing w:before="240" w:after="240"/>
        <w:rPr>
          <w:lang w:val="el" w:eastAsia="el"/>
        </w:rPr>
      </w:pPr>
      <w:r>
        <w:rPr>
          <w:lang w:val="el" w:eastAsia="el"/>
        </w:rPr>
        <w:t>40. Την υπό στοιχεία ΥΠΕΝ/ΔΑΠΕΕΚ/121503/5016/ 17.12.2021 απόφαση του Υπουργού Περιβάλλοντος και Ενέργειας «2η τροποποίηση της υπό στοιχεία ΥΠΕΝ/ 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6287).</w:t>
      </w:r>
    </w:p>
    <w:p>
      <w:pPr>
        <w:pStyle w:val="PreambelText"/>
        <w:spacing w:before="240" w:after="240"/>
        <w:rPr>
          <w:lang w:val="el" w:eastAsia="el"/>
        </w:rPr>
      </w:pPr>
      <w:r>
        <w:rPr>
          <w:lang w:val="el" w:eastAsia="el"/>
        </w:rPr>
        <w:t>41. Την υπό στοιχεία ΥΠΕΝ/ΔΑΠΕΕΚ/18393/686/ 20.02.2023 απόφαση του Υπουργού Περιβάλλοντος και Ενέργειας «3η τροποποίηση της υπό στοιχεία ΥΠΕΝ/ 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239).</w:t>
      </w:r>
    </w:p>
    <w:p>
      <w:pPr>
        <w:pStyle w:val="PreambelText"/>
        <w:spacing w:before="240" w:after="240"/>
        <w:rPr>
          <w:lang w:val="el" w:eastAsia="el"/>
        </w:rPr>
      </w:pPr>
      <w:r>
        <w:rPr>
          <w:lang w:val="el" w:eastAsia="el"/>
        </w:rPr>
        <w:t>42. Την υπό στοιχεία 36259/1757/Ε.103/23/.08.2010 κοινή υπουργική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43.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44. Τον Κώδικα Διαχείρισης του Ελληνικού Δικτύου Διανομής Ηλεκτρικής Ενέργειας, όπως εγκρίθηκε με την υπ’ αρ. 395/2017 (Β’ 78) απόφαση της ΡΑΕ.</w:t>
      </w:r>
    </w:p>
    <w:p>
      <w:pPr>
        <w:pStyle w:val="PreambelText"/>
        <w:spacing w:before="240" w:after="240"/>
        <w:rPr>
          <w:lang w:val="el" w:eastAsia="el"/>
        </w:rPr>
      </w:pPr>
      <w:r>
        <w:rPr>
          <w:lang w:val="el" w:eastAsia="el"/>
        </w:rPr>
        <w:t>45. Τον Κώδικα Διαχείρισης Ηλεκτρικών Συστημάτων Μη Διασυνδεδεμένων Νησιών, όπως εγκρίθηκε με την υπ’ αρ. 39/2014 (Β’ 304) απόφαση της ΡΑΕ.</w:t>
      </w:r>
    </w:p>
    <w:p>
      <w:pPr>
        <w:pStyle w:val="PreambelText"/>
        <w:spacing w:before="240" w:after="240"/>
        <w:rPr>
          <w:lang w:val="el" w:eastAsia="el"/>
        </w:rPr>
      </w:pPr>
      <w:r>
        <w:rPr>
          <w:lang w:val="el" w:eastAsia="el"/>
        </w:rPr>
        <w:t>46. Τον Κώδικα Προμήθειας Ηλεκτρικής Ενέργειας σε Πελάτες (Β’ 832/2013).</w:t>
      </w:r>
    </w:p>
    <w:p>
      <w:pPr>
        <w:pStyle w:val="PreambelText"/>
        <w:spacing w:before="240" w:after="240"/>
        <w:rPr>
          <w:lang w:val="el" w:eastAsia="el"/>
        </w:rPr>
      </w:pPr>
      <w:r>
        <w:rPr>
          <w:lang w:val="el" w:eastAsia="el"/>
        </w:rPr>
        <w:t>47.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48. Την υπό στοιχεία ΥΠΕΝ/ΔΠΔΑ/36497/920/ 04.04.2023 (Ορθή Επανάληψη 27.04.2023)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49. Την υπό στοιχεία ΥΠΕΝ/ΥΔΕΝ/47129/720/28.04.2023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w:t>
      </w:r>
    </w:p>
    <w:p>
      <w:pPr>
        <w:pStyle w:val="PreambelText"/>
        <w:spacing w:before="240" w:after="240"/>
        <w:rPr>
          <w:lang w:val="el" w:eastAsia="el"/>
        </w:rPr>
      </w:pPr>
      <w:r>
        <w:rPr>
          <w:lang w:val="el" w:eastAsia="el"/>
        </w:rPr>
        <w:t>50. Την από 20/10/2023 (Α.Π. ΥΠΕΝ/ΕΔΕΣΠΑ/108261/ 774) γνωμοδότηση της Διεύθυνσης Ανανεώσιμων Πηγών Ενέργειας του Υπουργείου Περιβάλλοντος και Ενέργειας.</w:t>
      </w:r>
    </w:p>
    <w:p>
      <w:pPr>
        <w:pStyle w:val="PreambelText"/>
        <w:spacing w:before="240" w:after="240"/>
        <w:rPr>
          <w:lang w:val="el" w:eastAsia="el"/>
        </w:rPr>
      </w:pPr>
      <w:r>
        <w:rPr>
          <w:lang w:val="el" w:eastAsia="el"/>
        </w:rPr>
        <w:t>51. Την υπό στοιχεία ΥΠΕΝ/ΔΠΔΑ/108380/2622/2023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52. Την υπό στοιχεία Α.Π.157150 ΕΞ 2023/ΥΠΟΙΚ 25.10.2023 διατύπωση σύμφωνης γνώμης της Ειδικής Υπηρεσίας Συντονισμού Ταμείου Ανάκαμψης.</w:t>
      </w:r>
    </w:p>
    <w:p>
      <w:pPr>
        <w:pStyle w:val="PreambelText"/>
        <w:spacing w:before="240" w:after="240"/>
        <w:rPr>
          <w:lang w:val="el" w:eastAsia="el"/>
        </w:rPr>
      </w:pPr>
      <w:r>
        <w:rPr>
          <w:lang w:val="el" w:eastAsia="el"/>
        </w:rPr>
        <w:t>53. Το γεγονός ότι, σύμφωνα με την υπό στοιχείο 51 εισήγηση, από τις διατάξεις της παρούσας δεν προκύπτει περαιτέρω επιβάρυνση στον κρατικό προϋπολογισμό πέραν της εκτιμηθείσας στην υπό στοιχεία ΥΠΕΝ/ΔΠΔΑ/36497/920/04-04-2023 (Ορθή Επανάληψη 27-04-2023) εισήγηση του Γ.Δ.Ο.Υ. του Υ.ΠΕ.Ν., η οποία προκλήθηκε με την υπό στοιχεία ΥΠΕΝ/ΥΔΕΝ/47129/720,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υπό στοιχεία ΥΠΕΝ/ΥΔΕΝ/47129/ 720/28.04.2023 κοινή απόφαση των Υπουργών Οικονομικών, Ανάπτυξης και Επενδύσεων και Περιβάλλοντος και Ενέργειας «Προκήρυξη του Προγράμματος «Φωτοβολταϊκά στη Στέγη» (Β’ 2903), σύμφωνα με το άρθρο 68 του ν. 4986/2022, ως ακολούθως:</w:t>
      </w:r>
    </w:p>
    <w:p>
      <w:pPr>
        <w:pStyle w:val="MainText"/>
        <w:spacing w:before="120" w:after="0"/>
        <w:rPr>
          <w:lang w:val="el" w:eastAsia="el"/>
        </w:rPr>
      </w:pPr>
      <w:r>
        <w:rPr>
          <w:b/>
          <w:bCs/>
          <w:lang w:val="el" w:eastAsia="el"/>
        </w:rPr>
        <w:t>1.</w:t>
      </w:r>
      <w:r>
        <w:rPr>
          <w:lang w:val="el" w:eastAsia="el"/>
        </w:rPr>
        <w:t xml:space="preserve"> Μετά την παρ. 5 του άρθρου 4, προστίθεται παρ. 6 ως εξής:</w:t>
      </w:r>
    </w:p>
    <w:p>
      <w:pPr>
        <w:spacing w:before="240" w:after="240"/>
        <w:rPr>
          <w:lang w:val="el" w:eastAsia="el"/>
        </w:rPr>
      </w:pPr>
      <w:r>
        <w:rPr>
          <w:lang w:val="el" w:eastAsia="el"/>
        </w:rPr>
        <w:t>«6. Το δικαίωμα συμμετοχής υποβληθείσας αίτησης χρηματοδότησης στο Πρόγραμμα δεν μεταβιβάζεται. Μεταβίβαση του δικαιώματος δίνεται μόνο στην αναγκαστική περίπτωση αποβίωσης του Ωφελουμένου. Στην περίπτωση αυτή, το δικαίωμα μεταβίβασης της αίτησης χρηματοδότησης θεμελιώνεται με την έγκριση της αίτησης σύμφωνα με το άρθρο 12. 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και ο οποίος θα δηλώνεται ως διάδοχος της αίτησης στο Πρόγραμμα. Ο διάδοχος δύναται να είναι ταυτόχρονα και Ωφελούμενος για άλλη παροχή κατανάλωσης στο τρέχον Πρόγραμμα. Ο διάδοχος με την αποδοχή του ορισμού του ως νέος Ωφελούμενος οφείλει να αποδέχεται όλες τις υποχρεώσεις που προκύπτουν στο Πρόγραμμα. Με την επιφύλαξη της καταληκτικής ημερομηνίας του προγράμματος του άρθρου 13, το χρονικό διάστημα από τη δήλωση αποβίωσης και μέχρι την ολοκλήρωση της διαδικασίας διαδοχής εξαιρείται από τις τυχόν προθεσμίες του έργου.»</w:t>
      </w:r>
    </w:p>
    <w:p>
      <w:pPr>
        <w:pStyle w:val="MainText"/>
        <w:spacing w:before="120" w:after="0"/>
        <w:rPr>
          <w:lang w:val="el" w:eastAsia="el"/>
        </w:rPr>
      </w:pPr>
      <w:r>
        <w:rPr>
          <w:b/>
          <w:bCs/>
          <w:lang w:val="el" w:eastAsia="el"/>
        </w:rPr>
        <w:t>2.</w:t>
      </w:r>
      <w:r>
        <w:rPr>
          <w:lang w:val="el" w:eastAsia="el"/>
        </w:rPr>
        <w:t xml:space="preserve"> Η παρ. 3 του άρθρου 9 αντικαθίσταται ως εξής:</w:t>
      </w:r>
    </w:p>
    <w:p>
      <w:pPr>
        <w:pStyle w:val="MainText"/>
        <w:spacing w:before="120" w:after="0"/>
        <w:rPr>
          <w:lang w:val="el" w:eastAsia="el"/>
        </w:rPr>
      </w:pPr>
      <w:r>
        <w:rPr>
          <w:b/>
          <w:bCs/>
          <w:lang w:val="el" w:eastAsia="el"/>
        </w:rPr>
        <w:t>3.</w:t>
      </w:r>
      <w:r>
        <w:rPr>
          <w:lang w:val="el" w:eastAsia="el"/>
        </w:rPr>
        <w:t xml:space="preserve"> Οι δαπάνες διαχείρισης του ΔΕΔΔΗΕ για την εκπλήρωση των εργασιών που αναλαμβάνει ως Φορέας Διαχείρισης και Υλοποίησης του Προγράμματος καλύπτονται από τον συνολικό προϋπολογισμό του Προγράμματος. Ο προϋπολογισμός των διαχειριστικών δαπανών έχει μέγιστη δαπάνη 2.800.000 € που βαρύνει τη ΣΑΤΑ 075. Το ύψος των δαπανών διαχείρισης ορίζεται σε 120 ευρώ ανά ολοκληρωμένο φάκελο δικαιούχου. Ως ολοκλήρωση του φακέλου/αιτήματος ορίζεται το στάδιο της τελικής αξιολόγησης προς εκταμίευση της ενίσχυσης ή τελικής απένταξης.</w:t>
      </w:r>
    </w:p>
    <w:p>
      <w:pPr>
        <w:spacing w:before="240" w:after="240"/>
        <w:rPr>
          <w:lang w:val="el" w:eastAsia="el"/>
        </w:rPr>
      </w:pPr>
      <w:r>
        <w:rPr>
          <w:lang w:val="el" w:eastAsia="el"/>
        </w:rPr>
        <w:t>Η πληρωμή των δαπανών διαχείρισης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πενήντα τοις εκατό (50 %) επί του προϋπολογισμού των διαχειριστικών δαπανών, του παρόντος άρθρου, ως προκαταβολή, καταβάλλεται εντός δύο (2) μηνών από την ημερομηνία έναρξης υποβολής αιτήσεων για ένταξη στο Πρόγραμμα.</w:t>
      </w:r>
    </w:p>
    <w:p>
      <w:pPr>
        <w:pStyle w:val="StructureList1"/>
        <w:spacing w:before="120" w:after="0"/>
        <w:rPr>
          <w:lang w:val="el" w:eastAsia="el"/>
        </w:rPr>
      </w:pPr>
      <w:r>
        <w:rPr>
          <w:lang w:val="el" w:eastAsia="el"/>
        </w:rPr>
        <w:t>β)</w:t>
      </w:r>
      <w:r>
        <w:rPr>
          <w:lang w:val="en" w:eastAsia="en"/>
        </w:rPr>
        <w:tab/>
      </w:r>
      <w:r>
        <w:rPr>
          <w:lang w:val="el" w:eastAsia="el"/>
        </w:rPr>
        <w:t>Ποσοστό δέκα τοις εκατό (10 %) επί των διαχειριστικών δαπανών ολοκληρωμένων φακέλων, καταβάλλεται σε τέσσερις (4) εξαμηνιαίες δόσεις, για την ορθή και ομαλή παρακολούθηση της πορείας του Προγράμματος. Η καταβολή των εξαμηνιαίων δόσεων, εκκινεί με την ολοκλήρωση του δεύτερου εξαμήνου του 2023 (1η εξαμηνιαία δόση).</w:t>
      </w:r>
    </w:p>
    <w:p>
      <w:pPr>
        <w:pStyle w:val="StructureList1"/>
        <w:spacing w:before="120" w:after="0"/>
        <w:rPr>
          <w:lang w:val="el" w:eastAsia="el"/>
        </w:rPr>
      </w:pPr>
      <w:r>
        <w:rPr>
          <w:lang w:val="el" w:eastAsia="el"/>
        </w:rPr>
        <w:t>γ)</w:t>
      </w:r>
      <w:r>
        <w:rPr>
          <w:lang w:val="en" w:eastAsia="en"/>
        </w:rPr>
        <w:tab/>
      </w:r>
      <w:r>
        <w:rPr>
          <w:lang w:val="el" w:eastAsia="el"/>
        </w:rPr>
        <w:t>Το υπόλοιπο ποσό καταβάλλεται με τη διαχειριστική ολοκλήρωση του Προγράμματος.</w:t>
      </w:r>
    </w:p>
    <w:p>
      <w:pPr>
        <w:pStyle w:val="StructureList1"/>
        <w:spacing w:before="120" w:after="0"/>
        <w:rPr>
          <w:lang w:val="el" w:eastAsia="el"/>
        </w:rPr>
      </w:pPr>
      <w:r>
        <w:rPr>
          <w:lang w:val="el" w:eastAsia="el"/>
        </w:rPr>
        <w:t>δ)</w:t>
      </w:r>
      <w:r>
        <w:rPr>
          <w:lang w:val="en" w:eastAsia="en"/>
        </w:rPr>
        <w:tab/>
      </w:r>
      <w:r>
        <w:rPr>
          <w:lang w:val="el" w:eastAsia="el"/>
        </w:rPr>
        <w:t>Η διαχειριστική δαπάνη είναι ανάλογη με την πραγματοποιηθείσα δημόσια δαπάνη του προγράμματος και σε κάθε περίπτωση δεν δύναται να ξεπερνά την ως άνω οριζόμενη μέγιστη δαπάνη.</w:t>
      </w:r>
    </w:p>
    <w:p>
      <w:pPr>
        <w:pStyle w:val="StructureList1"/>
        <w:spacing w:before="120" w:after="0"/>
        <w:rPr>
          <w:lang w:val="el" w:eastAsia="el"/>
        </w:rPr>
      </w:pPr>
      <w:r>
        <w:rPr>
          <w:lang w:val="el" w:eastAsia="el"/>
        </w:rPr>
        <w:t>ε)</w:t>
      </w:r>
      <w:r>
        <w:rPr>
          <w:lang w:val="en" w:eastAsia="en"/>
        </w:rPr>
        <w:tab/>
      </w:r>
      <w:r>
        <w:rPr>
          <w:lang w:val="el" w:eastAsia="el"/>
        </w:rPr>
        <w:t>Εφόσον, ο ΔΕΔΔΗΕ δεν ανταποκρίνεται στις υποχρεώσεις του, με απόφαση του Υπουργού Περιβάλλοντος και Ενέργειας, επιβάλλεται περικοπή των διαχειριστικών εξόδων».</w:t>
      </w:r>
    </w:p>
    <w:p>
      <w:pPr>
        <w:pStyle w:val="MainText"/>
        <w:spacing w:before="120" w:after="0"/>
        <w:rPr>
          <w:lang w:val="el" w:eastAsia="el"/>
        </w:rPr>
      </w:pPr>
      <w:r>
        <w:rPr>
          <w:b/>
          <w:bCs/>
          <w:lang w:val="el" w:eastAsia="el"/>
        </w:rPr>
        <w:t>3.</w:t>
      </w:r>
      <w:r>
        <w:rPr>
          <w:lang w:val="el" w:eastAsia="el"/>
        </w:rPr>
        <w:t xml:space="preserve"> Η παρ. 2 του άρθρου 14 αντικαθίσταται ως εξής:</w:t>
      </w:r>
    </w:p>
    <w:p>
      <w:pPr>
        <w:spacing w:before="240" w:after="240"/>
        <w:rPr>
          <w:lang w:val="el" w:eastAsia="el"/>
        </w:rPr>
      </w:pPr>
      <w:r>
        <w:rPr>
          <w:lang w:val="el" w:eastAsia="el"/>
        </w:rPr>
        <w:t>«2. Ειδικότερα, επισημαίνεται ότι:</w:t>
      </w:r>
    </w:p>
    <w:p>
      <w:pPr>
        <w:spacing w:before="240" w:after="240"/>
        <w:rPr>
          <w:lang w:val="el" w:eastAsia="el"/>
        </w:rPr>
      </w:pPr>
      <w:r>
        <w:rPr>
          <w:lang w:val="el" w:eastAsia="el"/>
        </w:rPr>
        <w:t>α) 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 από τον εκδότη (προμηθευτή),</w:t>
      </w:r>
    </w:p>
    <w:p>
      <w:pPr>
        <w:spacing w:before="240" w:after="240"/>
        <w:rPr>
          <w:lang w:val="el" w:eastAsia="el"/>
        </w:rPr>
      </w:pPr>
      <w:r>
        <w:rPr>
          <w:lang w:val="el" w:eastAsia="el"/>
        </w:rPr>
        <w:t>β) δεν επιτρέπεται η εξόφληση δαπανών με μετρητά, γ) η εγκατεστημένη ισχύς του φωτοβολταικού συστήματος στο αίτημα για την ενεργοποίηση σύνδεσης και αντίστοιχα στη βεβαίωση ολοκλήρωσης σύνδεσης που εκδίδεται από τον ΔΕΔΔΗΕ δύναται να αποκλίνει μειούμενη έως 500w από την ισχύ που αναγράφεται στην οικεία Σύμβαση Σύνδεσης και αντίστοιχα στην οικεία αίτηση χρηματοδότησης.</w:t>
      </w:r>
    </w:p>
    <w:p>
      <w:pPr>
        <w:spacing w:before="240" w:after="240"/>
        <w:rPr>
          <w:lang w:val="el" w:eastAsia="el"/>
        </w:rPr>
      </w:pPr>
      <w:r>
        <w:rPr>
          <w:lang w:val="el" w:eastAsia="el"/>
        </w:rPr>
        <w:t>δ) η ονομαστική ισχύς του συστήματος αποθήκευσης (kVA) στο αίτημα για την ενεργοποίηση και αντίστοιχα στη βεβαίωση ολοκλήρωσης σύνδεσης που εκδίδεται από τον ΔΕΔΔΗΕ δύναται να αποκλίνει από την ονομαστική ισχύ που αναγράφεται στην οικεία Συμβασης Συνδεσης και αντίστοιχα στην οικεία αίτηση χρηματοδότησης.</w:t>
      </w:r>
    </w:p>
    <w:p>
      <w:pPr>
        <w:spacing w:before="240" w:after="240"/>
        <w:rPr>
          <w:lang w:val="el" w:eastAsia="el"/>
        </w:rPr>
      </w:pPr>
      <w:r>
        <w:rPr>
          <w:lang w:val="el" w:eastAsia="el"/>
        </w:rPr>
        <w:t>ε) η χωρητικότητα του συστήματος αποθήκευσης που αναγράφεται στη βεβαίωση ολοκλήρωσης σύνδεσης που εκδίδεται από το ΔΕΔΔΗΕ δύναται να αποκλίνει από την χωρητικότητα που αναγράφεται στην οικεία αίτηση χρηματοδότησης.</w:t>
      </w:r>
    </w:p>
    <w:p>
      <w:pPr>
        <w:spacing w:before="240" w:after="240"/>
        <w:rPr>
          <w:lang w:val="el" w:eastAsia="el"/>
        </w:rPr>
      </w:pPr>
      <w:r>
        <w:rPr>
          <w:lang w:val="el" w:eastAsia="el"/>
        </w:rPr>
        <w:t>Για τις ως άνω περ. γ) δ) και ε) δεν απαιτείται τροποποίηση της υφιστάμενης σύμβασης σύνδεσης και της αίτησης χρηματοδότησης από τον χρήστη και το ποσό επιχορήγησης που καταβάλλεται στον ωφελούμενο προκύπτει από την εγκατεστημένη ισχύ του φωτοβολταικού σταθμού και τη χωρητικότητα του συστήματος αποθήκευσης που αναγράφονται στη βεβαίωση ολοκλήρωσης σύνδεσης, και σε κάθε περίπτωση δεν μπορεί να ξεπερνά το ανώτατο ποσό επιχορήγησης που έχει αρχικά εγκριθεί και δεσμευτεί.</w:t>
      </w:r>
    </w:p>
    <w:p>
      <w:pPr>
        <w:spacing w:before="240" w:after="240"/>
        <w:rPr>
          <w:lang w:val="el" w:eastAsia="el"/>
        </w:rPr>
      </w:pPr>
      <w:r>
        <w:rPr>
          <w:lang w:val="el" w:eastAsia="el"/>
        </w:rPr>
        <w:t>Σε κάθε άλλη περίπτωση που σημειώνονται αποκλίσεις ως προς την ισχύ, με την επιφύλαξη των περ. γ), δ) και ε), απαιτείται από τον Ωφελούμενο τροποποίηση της οικείας Σύμβασης Σύνδεσης χωρίς την επανυποβολή νέας αίτησης χρηματοδότησης.».</w:t>
      </w:r>
    </w:p>
    <w:p>
      <w:pPr>
        <w:pStyle w:val="MainText"/>
        <w:spacing w:before="120" w:after="0"/>
        <w:rPr>
          <w:lang w:val="el" w:eastAsia="el"/>
        </w:rPr>
      </w:pPr>
      <w:r>
        <w:rPr>
          <w:b/>
          <w:bCs/>
          <w:lang w:val="el" w:eastAsia="el"/>
        </w:rPr>
        <w:t>4.</w:t>
      </w:r>
      <w:r>
        <w:rPr>
          <w:lang w:val="el" w:eastAsia="el"/>
        </w:rPr>
        <w:t xml:space="preserve"> Η παρ. 4 του άρθρου 15 αντικαθίσταται ως εξής:</w:t>
      </w:r>
    </w:p>
    <w:p>
      <w:pPr>
        <w:spacing w:before="240" w:after="240"/>
        <w:rPr>
          <w:lang w:val="el" w:eastAsia="el"/>
        </w:rPr>
      </w:pPr>
      <w:r>
        <w:rPr>
          <w:lang w:val="el" w:eastAsia="el"/>
        </w:rPr>
        <w:t>«4) Επικοινωνία με τον ωφελούμενο για τη συμπλήρωση πιθανών ελλείψεων ή για τη παροχή τυχόν διευκρινίσεων επί των υποβληθέντων δικαιολογητικών και παραστατικών των άρθρων 11 και 14, αντίστοιχα. Κατά την ολοκλήρωση του ελέγχου, ο ΔΕΔΔΗΕ επικαιροποιεί το τελικό ποσό επιχορήγησης βάσει των τεχνικών χαρακτηριστικών που αναγράφονται στη βεβαίωση ολοκλήρωσης σύνδεσης που έχει υποβάλλει ο Ωφελούμενος σύμφωνα με το άρθρο 14. Σε περίπτωση που κατά τον έλεγχο προκύψει ότι ο ωφελούμενος εμπίπτει βάσει του ατομικού ή οικογενειακού εισοδήματος του σε διαφορετική Κατηγορία Ωφελουμένου, το τελικό ποσό επιχορήγησης αναδιαμορφώνεται σύμφωνα με τα οριζόμενα στην κατηγορία όπου αυτός εμπίπτει και καταβάλλεται υπό την προϋπόθεση ότι υπάρχουν διαθέσιμοι πόροι στην εν λόγω κατηγορία. Σε κάθε περίπτωση το τελικό πιστοποιούμενο ποσό επιχορήγησης δεν μπορεί να ξεπερνά το ποσό επιχορήγησης που έχει αρχικά δεσμευτεί σύμφωνα με το άρθρο 12.»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Νοεμβρίου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Περιβάλλοντος και Οικονομικών και Ενέργειας</w:t>
      </w:r>
    </w:p>
    <w:p>
      <w:pPr>
        <w:spacing w:before="240" w:after="240"/>
        <w:rPr>
          <w:lang w:val="el" w:eastAsia="el"/>
        </w:rPr>
      </w:pPr>
      <w:r>
        <w:rPr>
          <w:b/>
          <w:bCs/>
          <w:lang w:val="el" w:eastAsia="el"/>
        </w:rPr>
        <w:t>ΝΙΚΟΛΑΟΣ ΠΑΠΑΘΑΝΑΣΗΣ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