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u w:val="single"/>
          <w:lang w:val="el" w:eastAsia="el"/>
        </w:rPr>
        <w:t>ΕΞΑΙΡΕΤΙΚΑ ΕΠΕΙΓΟΝ</w:t>
      </w:r>
    </w:p>
    <w:p>
      <w:pPr>
        <w:pStyle w:val="Title"/>
        <w:spacing w:before="120" w:after="360"/>
        <w:rPr>
          <w:lang w:val="el" w:eastAsia="el"/>
        </w:rPr>
      </w:pPr>
      <w:r>
        <w:rPr>
          <w:b/>
          <w:bCs/>
          <w:lang w:val="el" w:eastAsia="el"/>
        </w:rPr>
        <w:t>ΑΝΑΡΤΗΤΕΑ ΣΤΟ ΔΙΑΔΙΚΤΥΟ ΑΔΑ:9ΟΚΞ46ΜΠ3Ζ-ΤΔΡ</w:t>
      </w:r>
    </w:p>
    <w:p>
      <w:pPr>
        <w:pStyle w:val="Title"/>
        <w:spacing w:before="120" w:after="360"/>
        <w:rPr>
          <w:lang w:val="el" w:eastAsia="el"/>
        </w:rPr>
      </w:pPr>
      <w:r>
        <w:rPr>
          <w:b/>
          <w:bCs/>
          <w:lang w:val="el" w:eastAsia="el"/>
        </w:rPr>
        <w:t>Αρ. ΦΕΚ:6838 Β΄04/12/2023 -</w:t>
      </w:r>
    </w:p>
    <w:p>
      <w:pPr>
        <w:pStyle w:val="Title"/>
        <w:spacing w:before="120" w:after="360"/>
        <w:rPr>
          <w:lang w:val="el" w:eastAsia="el"/>
        </w:rPr>
      </w:pPr>
      <w:r>
        <w:rPr>
          <w:b/>
          <w:bCs/>
          <w:lang w:val="el" w:eastAsia="el"/>
        </w:rPr>
        <w:t>00:00</w:t>
      </w:r>
    </w:p>
    <w:p>
      <w:pPr>
        <w:pStyle w:val="Title"/>
        <w:spacing w:before="120" w:after="360"/>
        <w:rPr>
          <w:lang w:val="el" w:eastAsia="el"/>
        </w:rPr>
      </w:pPr>
      <w:r>
        <w:rPr>
          <w:b/>
          <w:bCs/>
          <w:lang w:val="el" w:eastAsia="el"/>
        </w:rPr>
        <w:t>Αθήνα, 30 Νοεμβρίου 2023</w:t>
      </w:r>
    </w:p>
    <w:p>
      <w:pPr>
        <w:pStyle w:val="Title"/>
        <w:spacing w:before="120" w:after="360"/>
        <w:rPr>
          <w:lang w:val="el" w:eastAsia="el"/>
        </w:rPr>
      </w:pPr>
      <w:r>
        <w:rPr>
          <w:b/>
          <w:bCs/>
          <w:lang w:val="el" w:eastAsia="el"/>
        </w:rPr>
        <w:t>Αριθ. Πρωτ.: Α.1191</w:t>
      </w:r>
    </w:p>
    <w:p>
      <w:pPr>
        <w:pStyle w:val="Title"/>
        <w:spacing w:before="120" w:after="360"/>
        <w:rPr>
          <w:lang w:val="el" w:eastAsia="el"/>
        </w:rPr>
      </w:pPr>
      <w:r>
        <w:rPr>
          <w:b/>
          <w:bCs/>
          <w:lang w:val="el" w:eastAsia="el"/>
        </w:rPr>
        <w:t>ΠΡΟΣ : Όπως Π.Δ.</w:t>
      </w:r>
    </w:p>
    <w:p>
      <w:pPr>
        <w:pStyle w:val="Title"/>
        <w:spacing w:before="120" w:after="360"/>
        <w:rPr>
          <w:lang w:val="el" w:eastAsia="el"/>
        </w:rPr>
      </w:pPr>
      <w:r>
        <w:rPr>
          <w:b/>
          <w:bCs/>
          <w:lang w:val="el" w:eastAsia="el"/>
        </w:rPr>
        <w:t>ΓΕΝΙΚΗ ΔΙΕΥΘΥΝΣΗ ΓΕΝΙΚΟΥ ΧΗΜΕΙΟΥ ΤΟΥ ΚΡΑΤΟΥΣ 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p>
      <w:pPr>
        <w:spacing w:before="240" w:after="240"/>
        <w:rPr>
          <w:lang w:val="el" w:eastAsia="el"/>
        </w:rPr>
      </w:pPr>
      <w:r>
        <w:rPr>
          <w:b/>
          <w:bCs/>
          <w:lang w:val="el" w:eastAsia="el"/>
        </w:rPr>
        <w:t>: Αν. Τσόχα 16</w:t>
      </w:r>
    </w:p>
    <w:p>
      <w:pPr>
        <w:spacing w:before="240" w:after="240"/>
        <w:rPr>
          <w:lang w:val="el" w:eastAsia="el"/>
        </w:rPr>
      </w:pPr>
      <w:r>
        <w:rPr>
          <w:b/>
          <w:bCs/>
          <w:lang w:val="el" w:eastAsia="el"/>
        </w:rPr>
        <w:t>: 115 21 Αθήνα</w:t>
      </w:r>
    </w:p>
    <w:p>
      <w:pPr>
        <w:spacing w:before="240" w:after="240"/>
        <w:rPr>
          <w:lang w:val="el" w:eastAsia="el"/>
        </w:rPr>
      </w:pPr>
      <w:r>
        <w:rPr>
          <w:b/>
          <w:bCs/>
          <w:lang w:val="el" w:eastAsia="el"/>
        </w:rPr>
        <w:t>: Σ. Χατζηγεωργίου, Α. Γεωργοπούλου : 210 6479222, 273</w:t>
      </w:r>
    </w:p>
    <w:p>
      <w:pPr>
        <w:spacing w:before="240" w:after="240"/>
        <w:rPr>
          <w:lang w:val="el" w:eastAsia="el"/>
        </w:rPr>
      </w:pPr>
      <w:r>
        <w:rPr>
          <w:b/>
          <w:bCs/>
          <w:lang w:val="el" w:eastAsia="el"/>
        </w:rPr>
        <w:t xml:space="preserve">: </w:t>
      </w:r>
      <w:hyperlink r:id="rId4" w:history="1">
        <w:r>
          <w:rPr>
            <w:rStyle w:val="Hyperlink"/>
            <w:b/>
            <w:bCs/>
            <w:i/>
            <w:iCs/>
            <w:color w:val="0000EE"/>
            <w:u w:color="0000EE"/>
            <w:lang w:val="el" w:eastAsia="el"/>
          </w:rPr>
          <w:t>dat.gcsl@aade.gr</w:t>
        </w:r>
      </w:hyperlink>
    </w:p>
    <w:p>
      <w:pPr>
        <w:spacing w:before="240" w:after="240"/>
        <w:rPr>
          <w:lang w:val="el" w:eastAsia="el"/>
        </w:rPr>
      </w:pPr>
      <w:r>
        <w:rPr>
          <w:b/>
          <w:bCs/>
          <w:lang w:val="el" w:eastAsia="el"/>
        </w:rPr>
        <w:t>ΘΕΜΑ: α) Τροποποίηση της υπ’ αρ. 30/003/000/817/21-02-2018 απόφασης του Διοικητή της ΑΑΔΕ «Διατυπώσεις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 (Β΄914)».</w:t>
      </w:r>
    </w:p>
    <w:p>
      <w:pPr>
        <w:pStyle w:val="StructureList1"/>
        <w:spacing w:before="120" w:after="0"/>
        <w:rPr>
          <w:lang w:val="el" w:eastAsia="el"/>
        </w:rPr>
      </w:pPr>
      <w:r>
        <w:rPr>
          <w:lang w:val="el" w:eastAsia="el"/>
        </w:rPr>
        <w:t>β)</w:t>
      </w:r>
      <w:r>
        <w:rPr>
          <w:lang w:val="en" w:eastAsia="en"/>
        </w:rPr>
        <w:tab/>
      </w:r>
      <w:r>
        <w:rPr>
          <w:b/>
          <w:bCs/>
          <w:lang w:val="el" w:eastAsia="el"/>
        </w:rPr>
        <w:t>Παράταση της προθεσμίας ογκομέτρησης δεξαμενών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και 80 του Εθνικού Τελωνειακού Κώδικα (ν.2960/2001, Α΄ 265) και ιδίως της εξουσιοδοτικής διάταξης της παρ. 2 του άρθρου 63 αυτού,</w:t>
      </w:r>
    </w:p>
    <w:p>
      <w:pPr>
        <w:pStyle w:val="StructureList1"/>
        <w:spacing w:before="120" w:after="0"/>
        <w:rPr>
          <w:lang w:val="el" w:eastAsia="el"/>
        </w:rPr>
      </w:pPr>
      <w:r>
        <w:rPr>
          <w:lang w:val="el" w:eastAsia="el"/>
        </w:rPr>
        <w:t>β)</w:t>
      </w:r>
      <w:r>
        <w:rPr>
          <w:lang w:val="en" w:eastAsia="en"/>
        </w:rPr>
        <w:tab/>
      </w:r>
      <w:r>
        <w:rPr>
          <w:b/>
          <w:bCs/>
          <w:lang w:val="el" w:eastAsia="el"/>
        </w:rPr>
        <w:t>του άρθρου 5, των παρ. Β.5, Β.11 και Γ.1 του άρθρου 7 και της παρ. 10 του άρθρου 8, καθώς και της περ. ιγ) της παρ. 2 του άρθρου 11 του ν.2969/2001 «Αιθυλική αλκοόλη και αλκοολούχα προϊόντα» (Α΄ 281) και ιδίως της εξουσιοδοτικής διάταξης του δεύτερου εδαφίου της παρ. Β.5.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2013/28-01-2013 κοινή απόφασης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(Β΄130 και 372), σε συνδυασμό με τις διατάξεις της περ. α) της παρ. 3 του άρθρου 41 του ν. 4389/2016 (Α΄94).</w:t>
      </w:r>
    </w:p>
    <w:p>
      <w:pPr>
        <w:spacing w:before="240" w:after="240"/>
        <w:rPr>
          <w:lang w:val="el" w:eastAsia="el"/>
        </w:rPr>
      </w:pPr>
      <w:r>
        <w:rPr>
          <w:lang w:val="el" w:eastAsia="el"/>
        </w:rPr>
        <w:t xml:space="preserve">3. </w:t>
      </w:r>
      <w:r>
        <w:rPr>
          <w:b/>
          <w:bCs/>
          <w:lang w:val="el" w:eastAsia="el"/>
        </w:rPr>
        <w:t>Την υπό στοιχεία Τ3200/25/30-05-1968 απόφαση Υφυπουργού Οικονομικών «Περί του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4. </w:t>
      </w:r>
      <w:r>
        <w:rPr>
          <w:b/>
          <w:bCs/>
          <w:lang w:val="el" w:eastAsia="el"/>
        </w:rPr>
        <w:t>Την υπ’ αρ. 30/003/000/817/21-02-2018 απόφαση του Διοικητή της Ανεξάρτητης Αρχής Δημοσίων Εσόδων «Διατυπώσεις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 (Β΄914)</w:t>
      </w:r>
      <w:r>
        <w:rPr>
          <w:b/>
          <w:bCs/>
          <w:i/>
          <w:iCs/>
          <w:lang w:val="el" w:eastAsia="el"/>
        </w:rPr>
        <w:t>.</w:t>
      </w:r>
    </w:p>
    <w:p>
      <w:pPr>
        <w:spacing w:before="240" w:after="240"/>
        <w:rPr>
          <w:lang w:val="el" w:eastAsia="el"/>
        </w:rPr>
      </w:pPr>
      <w:r>
        <w:rPr>
          <w:lang w:val="el" w:eastAsia="el"/>
        </w:rPr>
        <w:t xml:space="preserve">5. </w:t>
      </w:r>
      <w:r>
        <w:rPr>
          <w:b/>
          <w:bCs/>
          <w:lang w:val="el" w:eastAsia="el"/>
        </w:rPr>
        <w:t>Την υπό στοιχεία Α.1032/20-03-2023 απόφαση του Διοικητή της Ανεξάρτητης Αρχής Δημοσίων Εσόδων «Παράταση της προθεσμίας ογκομέτρησης δεξαμενών αιθυλικής αλκοόλης και αλκοολούχων προϊόντων των οινοπνευματοποιών Α΄και Β΄κατηγορίας, των αποσταγματοποιών καθώς και των φορολογικών αποθηκών εμπορίας των εν λόγω προϊόντων» (Β΄1962)</w:t>
      </w:r>
      <w:r>
        <w:rPr>
          <w:b/>
          <w:bCs/>
          <w:i/>
          <w:iCs/>
          <w:lang w:val="el" w:eastAsia="el"/>
        </w:rPr>
        <w:t>.</w:t>
      </w:r>
    </w:p>
    <w:p>
      <w:pPr>
        <w:spacing w:before="240" w:after="240"/>
        <w:rPr>
          <w:lang w:val="el" w:eastAsia="el"/>
        </w:rPr>
      </w:pPr>
      <w:r>
        <w:rPr>
          <w:lang w:val="el" w:eastAsia="el"/>
        </w:rPr>
        <w:t xml:space="preserve">6. </w:t>
      </w:r>
      <w:r>
        <w:rPr>
          <w:b/>
          <w:bCs/>
          <w:lang w:val="el" w:eastAsia="el"/>
        </w:rPr>
        <w:t>Την υπό στοιχεία Α.1166/25-10-2023 απόφαση του Διοικητή της Ανεξάρτητης Αρχής Δημοσίων Εσόδων «Παράταση της προθεσμίας ογκομέτρησης δεξαμενών αιθυλικής αλκοόλης και αλκοολούχων προϊόντων των οινοπνευματοποιών Α΄και Β΄κατηγορίας, των αποσταγματοποιών καθώς και των φορολογικών αποθηκών εμπορίας των εν λόγω προϊόντων» (Β΄6242)</w:t>
      </w:r>
      <w:r>
        <w:rPr>
          <w:b/>
          <w:bCs/>
          <w:i/>
          <w:iCs/>
          <w:lang w:val="el" w:eastAsia="el"/>
        </w:rPr>
        <w:t>.</w:t>
      </w:r>
    </w:p>
    <w:p>
      <w:pPr>
        <w:spacing w:before="240" w:after="240"/>
        <w:rPr>
          <w:lang w:val="el" w:eastAsia="el"/>
        </w:rPr>
      </w:pPr>
      <w:r>
        <w:rPr>
          <w:lang w:val="el" w:eastAsia="el"/>
        </w:rPr>
        <w:t xml:space="preserve">7. </w:t>
      </w:r>
      <w:r>
        <w:rPr>
          <w:b/>
          <w:bCs/>
          <w:lang w:val="el" w:eastAsia="el"/>
        </w:rPr>
        <w:t>Την υπό στοιχεία ΔΔΘΤΟΚ Δ 1026126ΕΞ2017/27-01-2017 απόφαση του Διοικητή της Ανεξάρτητης Αρχής Δημοσίων Εσόδων «Εφαρμογή Ειδικού Καθεστώτος της Τελωνειακής αποταμίευσης» (Β΄ 810).</w:t>
      </w:r>
    </w:p>
    <w:p>
      <w:pPr>
        <w:spacing w:before="240" w:after="240"/>
        <w:rPr>
          <w:lang w:val="el" w:eastAsia="el"/>
        </w:rPr>
      </w:pPr>
      <w:r>
        <w:rPr>
          <w:lang w:val="el" w:eastAsia="el"/>
        </w:rPr>
        <w:t xml:space="preserve">8. </w:t>
      </w:r>
      <w:r>
        <w:rPr>
          <w:b/>
          <w:bCs/>
          <w:lang w:val="el" w:eastAsia="el"/>
        </w:rPr>
        <w:t>Την υπό στοιχεία ΔΕΦΚΦ1116596ΕΞ2017/02.08.2017 απόφαση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(Β΄2745).</w:t>
      </w:r>
    </w:p>
    <w:p>
      <w:pPr>
        <w:spacing w:before="240" w:after="240"/>
        <w:rPr>
          <w:lang w:val="el" w:eastAsia="el"/>
        </w:rPr>
      </w:pPr>
      <w:r>
        <w:rPr>
          <w:lang w:val="el" w:eastAsia="el"/>
        </w:rPr>
        <w:t xml:space="preserve">9. </w:t>
      </w:r>
      <w:r>
        <w:rPr>
          <w:b/>
          <w:bCs/>
          <w:lang w:val="el" w:eastAsia="el"/>
        </w:rPr>
        <w:t>Την υπό στοιχεία OIML R 71:2008 «Fixed Storage Tanks.General Requirements» Σύσταση του Διεθνούς Οργανισμού Νομικής Μετρολογίας.</w:t>
      </w:r>
    </w:p>
    <w:p>
      <w:pPr>
        <w:spacing w:before="240" w:after="240"/>
        <w:rPr>
          <w:lang w:val="el" w:eastAsia="el"/>
        </w:rPr>
      </w:pPr>
      <w:r>
        <w:rPr>
          <w:lang w:val="el" w:eastAsia="el"/>
        </w:rPr>
        <w:t xml:space="preserve">10. </w:t>
      </w:r>
      <w:r>
        <w:rPr>
          <w:b/>
          <w:bCs/>
          <w:lang w:val="el" w:eastAsia="el"/>
        </w:rPr>
        <w:t>Την από 30.11.2023 σχετική εισήγηση της Διεύθυνσης Ε.Φ.Κ. και Φ.Π.Α. της Γενικής Διεύθυνσης Τελωνείων και Ε.Φ.Κ. (Γ.Δ.Τ. και Ε.Φ.Κ.) και της Διεύθυνσης Αλκοόλης και Τροφίμων της Γενικής Διεύθυνσης του Γενικού Χημείου του Κράτους (Γ.Χ.Κ.) της Ανεξάρτητης Αρχής Δημοσίων Εσόδων.</w:t>
      </w:r>
    </w:p>
    <w:p>
      <w:pPr>
        <w:spacing w:before="240" w:after="240"/>
        <w:rPr>
          <w:lang w:val="el" w:eastAsia="el"/>
        </w:rPr>
      </w:pPr>
      <w:r>
        <w:rPr>
          <w:lang w:val="el" w:eastAsia="el"/>
        </w:rPr>
        <w:t xml:space="preserve">11.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39/03/30-11-2017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12. </w:t>
      </w:r>
      <w:r>
        <w:rPr>
          <w:b/>
          <w:bCs/>
          <w:lang w:val="el" w:eastAsia="el"/>
        </w:rPr>
        <w:t>Την ανάγκη α) τροποποίησης της υπ’ αρ. 30/003/000/817/2018 απόφασης του Διοικητή της Ανεξάρτητης Αρχής Δημοσίων Εσόδων (Β΄914) για την απλούστευση των διαδικασιών επιλογής της μεθόδου ογκομέτρησης και επίλυση τεχνικών ζητημάτων που ανέκυψαν, κατά την εφαρμογή της απόφασης και β) παράτασης της προθεσμίας για την ογκομέτρηση των δεξαμενών αποθήκευσης της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Τροποποίηση της υπ’ αριθ. 30/003/000/817/21-02-2018 απόφασης του Διοικητή της ΑΑΔΕ «Διατυπώσεις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 (Β΄914)».</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 αριθ. 30/003/000/817/21-02-2018 απόφαση του Διοικητή της ΑΑΔΕ τροποποιείται, ως ακολούθως:</w:t>
      </w:r>
    </w:p>
    <w:p>
      <w:pPr>
        <w:spacing w:before="240" w:after="240"/>
        <w:rPr>
          <w:lang w:val="el" w:eastAsia="el"/>
        </w:rPr>
      </w:pPr>
      <w:r>
        <w:rPr>
          <w:lang w:val="el" w:eastAsia="el"/>
        </w:rPr>
        <w:t xml:space="preserve">1 </w:t>
      </w:r>
      <w:r>
        <w:rPr>
          <w:b/>
          <w:bCs/>
          <w:lang w:val="el" w:eastAsia="el"/>
        </w:rPr>
        <w:t>.Το πρώτο εδάφιο της περ. α. της παρ. 3 του άρθρου 3 αντικαθίσταται, ως ακολούθως:</w:t>
      </w:r>
    </w:p>
    <w:p>
      <w:pPr>
        <w:spacing w:before="240" w:after="240"/>
        <w:rPr>
          <w:lang w:val="el" w:eastAsia="el"/>
        </w:rPr>
      </w:pPr>
      <w:r>
        <w:rPr>
          <w:b/>
          <w:bCs/>
          <w:lang w:val="el" w:eastAsia="el"/>
        </w:rPr>
        <w:t>«Η έγκριση χρήσης χορηγείται με σχετική απόφαση του Προϊσταμένου του οικείου Τελωνείου Ελέγχου, κατά τα ειδικότερα οριζόμενα στο μέρος «Β. Τηρητέες Διαδικασίες» του άρθρου 4 και στο Παράρτημα Ε της παρούσας, ισχύει δε για χρονικό διάστημα δεκαπέντε (15) ετών από της ημερομηνίας καταρτίσεως του οικείου ογκομετρικού πίνακα.».</w:t>
      </w:r>
    </w:p>
    <w:p>
      <w:pPr>
        <w:spacing w:before="240" w:after="240"/>
        <w:rPr>
          <w:lang w:val="el" w:eastAsia="el"/>
        </w:rPr>
      </w:pPr>
      <w:r>
        <w:rPr>
          <w:lang w:val="el" w:eastAsia="el"/>
        </w:rPr>
        <w:t xml:space="preserve">2 </w:t>
      </w:r>
      <w:r>
        <w:rPr>
          <w:b/>
          <w:bCs/>
          <w:lang w:val="el" w:eastAsia="el"/>
        </w:rPr>
        <w:t>.Tο άρθρο 4 τροποποιείται, ως ακολούθως:</w:t>
      </w:r>
    </w:p>
    <w:p>
      <w:pPr>
        <w:spacing w:before="240" w:after="240"/>
        <w:rPr>
          <w:lang w:val="el" w:eastAsia="el"/>
        </w:rPr>
      </w:pPr>
      <w:r>
        <w:rPr>
          <w:b/>
          <w:bCs/>
          <w:lang w:val="el" w:eastAsia="el"/>
        </w:rPr>
        <w:t>α. Η παρ. 2 του μέρους «Α. Απαιτήσεις» αντικαθίσταται, ως ακολούθως:</w:t>
      </w:r>
    </w:p>
    <w:p>
      <w:pPr>
        <w:spacing w:before="240" w:after="240"/>
        <w:rPr>
          <w:lang w:val="el" w:eastAsia="el"/>
        </w:rPr>
      </w:pPr>
      <w:r>
        <w:rPr>
          <w:b/>
          <w:bCs/>
          <w:lang w:val="el" w:eastAsia="el"/>
        </w:rPr>
        <w:t>«2. Για την πραγματοποίηση της ογκομέτρησης, μπορεί να εφαρμοσθεί οποιαδήποτε αποδεκτή μετρολογικά μέθοδος, η οποία περιλαμβάνεται στο πεδίο διαπίστευσης του φορέα που διενεργεί την ογκομέτρηση.».</w:t>
      </w:r>
    </w:p>
    <w:p>
      <w:pPr>
        <w:spacing w:before="240" w:after="240"/>
        <w:rPr>
          <w:lang w:val="el" w:eastAsia="el"/>
        </w:rPr>
      </w:pPr>
      <w:r>
        <w:rPr>
          <w:b/>
          <w:bCs/>
          <w:lang w:val="el" w:eastAsia="el"/>
        </w:rPr>
        <w:t>β. Το τρίτο εδάφιο της περ. β. της παρ. 3 του μέρους «Α. Απαιτήσεις» αντικαθίσταται, ως ακολούθως:</w:t>
      </w:r>
    </w:p>
    <w:p>
      <w:pPr>
        <w:spacing w:before="240" w:after="240"/>
        <w:rPr>
          <w:lang w:val="el" w:eastAsia="el"/>
        </w:rPr>
      </w:pPr>
      <w:r>
        <w:rPr>
          <w:b/>
          <w:bCs/>
          <w:lang w:val="el" w:eastAsia="el"/>
        </w:rPr>
        <w:t>«Οι ενδείξεις στους ογκομετρικούς πίνακες πρέπει να αναγράφονται ανά 1 mm.».</w:t>
      </w:r>
    </w:p>
    <w:p>
      <w:pPr>
        <w:spacing w:before="240" w:after="240"/>
        <w:rPr>
          <w:lang w:val="el" w:eastAsia="el"/>
        </w:rPr>
      </w:pPr>
      <w:r>
        <w:rPr>
          <w:b/>
          <w:bCs/>
          <w:lang w:val="el" w:eastAsia="el"/>
        </w:rPr>
        <w:t>γ. Το πρώτο εδάφιο της περ. α. της παρ. 5 του μέρους «Α. Απαιτήσεις» αντικαθίσταται, ως ακολούθως:</w:t>
      </w:r>
    </w:p>
    <w:p>
      <w:pPr>
        <w:spacing w:before="240" w:after="240"/>
        <w:rPr>
          <w:lang w:val="el" w:eastAsia="el"/>
        </w:rPr>
      </w:pPr>
      <w:r>
        <w:rPr>
          <w:b/>
          <w:bCs/>
          <w:lang w:val="el" w:eastAsia="el"/>
        </w:rPr>
        <w:t>«Επανογκομέτρηση των κατά τα ανωτέρω δεξαμενών διενεργείται, επίσης από διαπιστευμένους, όπως παραπάνω φορείς, κανονικά, είτε κάθε δεκαπέντε (15) χρόνια, είτε κάθε είκοσι (20) χρόνια, εφόσον όμως πραγματοποιείται ο κατά τα ανωτέρω ανά πενταετία περιοδικός έλεγχος.».</w:t>
      </w:r>
    </w:p>
    <w:p>
      <w:pPr>
        <w:spacing w:before="240" w:after="240"/>
        <w:rPr>
          <w:lang w:val="el" w:eastAsia="el"/>
        </w:rPr>
      </w:pPr>
      <w:r>
        <w:rPr>
          <w:b/>
          <w:bCs/>
          <w:lang w:val="el" w:eastAsia="el"/>
        </w:rPr>
        <w:t>δ. Μετά το εδάφιο της περ. β. της παρ. 2 του μέρους «Β. Τηρητέες Διαδικασίες» προστίθεται δεύτερο εδάφιο, ως ακολούθως:</w:t>
      </w:r>
    </w:p>
    <w:p>
      <w:pPr>
        <w:spacing w:before="240" w:after="240"/>
        <w:rPr>
          <w:lang w:val="el" w:eastAsia="el"/>
        </w:rPr>
      </w:pPr>
      <w:r>
        <w:rPr>
          <w:b/>
          <w:bCs/>
          <w:lang w:val="el" w:eastAsia="el"/>
        </w:rPr>
        <w:t>«Κατ’ εξαίρεση της ανωτέρω προθεσμίας δύναται να δοθεί παράταση δέκα (10) εργάσιμων ημερών, κατόπιν έγκρισης των ελεγκτικών αρχών σε σχετικό αιτιολογημένο αίτημα του ενδιαφερόμενου επιτηδευματία.».</w:t>
      </w:r>
    </w:p>
    <w:p>
      <w:pPr>
        <w:spacing w:before="240" w:after="240"/>
        <w:rPr>
          <w:lang w:val="el" w:eastAsia="el"/>
        </w:rPr>
      </w:pPr>
      <w:r>
        <w:rPr>
          <w:b/>
          <w:bCs/>
          <w:lang w:val="el" w:eastAsia="el"/>
        </w:rPr>
        <w:t>ε. Το πρώτο εδάφιο της περ. α. της παρ. 3 του μέρους «Β. Τηρητέες Διαδικασίες» αντικαθίσταται, ως ακολούθως:</w:t>
      </w:r>
    </w:p>
    <w:p>
      <w:pPr>
        <w:spacing w:before="240" w:after="240"/>
        <w:rPr>
          <w:lang w:val="el" w:eastAsia="el"/>
        </w:rPr>
      </w:pPr>
      <w:r>
        <w:rPr>
          <w:b/>
          <w:bCs/>
          <w:lang w:val="el" w:eastAsia="el"/>
        </w:rPr>
        <w:t>«Προκειμένου για τις δεξαμενές που χρησιμοποιούνται, ως δοχεία συλλογής της αιθυλικής αλκοόλης στις οικείες μονάδες παραγωγής, περί των οποίων το Παράρτημα Ε2΄ της παρούσας, το Τελωνείο Ελέγχου, μετά την υποβολή από τον ενδιαφερόμενο επιτηδευματία της κατά τα ανωτέρω αίτησης, συγκροτεί την κατά την περ. β. της παρ. 2 του άρθρου 6 της παρούσας επιτροπή, η οποία προβαίνει στον μακροσκοπικό έλεγχο και επιθεώρηση της δεξαμενής.».</w:t>
      </w:r>
    </w:p>
    <w:p>
      <w:pPr>
        <w:spacing w:before="240" w:after="240"/>
        <w:rPr>
          <w:lang w:val="el" w:eastAsia="el"/>
        </w:rPr>
      </w:pPr>
      <w:r>
        <w:rPr>
          <w:b/>
          <w:bCs/>
          <w:lang w:val="el" w:eastAsia="el"/>
        </w:rPr>
        <w:t>στ. Η παρ. 4 του μέρους «Β. Τηρητέες Διαδικασίες» τροποποιείται, ως ακολούθως:</w:t>
      </w:r>
    </w:p>
    <w:p>
      <w:pPr>
        <w:spacing w:before="240" w:after="240"/>
        <w:rPr>
          <w:lang w:val="el" w:eastAsia="el"/>
        </w:rPr>
      </w:pPr>
      <w:r>
        <w:rPr>
          <w:b/>
          <w:bCs/>
          <w:lang w:val="el" w:eastAsia="el"/>
        </w:rPr>
        <w:t>«4. Η κατά τα ανωτέρω έγκριση χρήσης, όπως και η ανανέωση αυτής, χορηγείται επί ειδικού εντύπου, το οποίο έχει τον τύπο που καθορίζεται στο Παράρτημα ΣΤ΄ της παρούσας και κοινοποιείται στην οικεία Χημική Υπηρεσία Ελέγχου.».</w:t>
      </w:r>
    </w:p>
    <w:p>
      <w:pPr>
        <w:spacing w:before="240" w:after="240"/>
        <w:rPr>
          <w:lang w:val="el" w:eastAsia="el"/>
        </w:rPr>
      </w:pPr>
      <w:r>
        <w:rPr>
          <w:lang w:val="el" w:eastAsia="el"/>
        </w:rPr>
        <w:t xml:space="preserve">3 </w:t>
      </w:r>
      <w:r>
        <w:rPr>
          <w:b/>
          <w:bCs/>
          <w:lang w:val="el" w:eastAsia="el"/>
        </w:rPr>
        <w:t>.Η περ. β. της παρ. 3 του άρθρου 5 αντικαθίσταται, ως ακολούθως:</w:t>
      </w:r>
    </w:p>
    <w:p>
      <w:pPr>
        <w:spacing w:before="240" w:after="240"/>
        <w:rPr>
          <w:lang w:val="el" w:eastAsia="el"/>
        </w:rPr>
      </w:pPr>
      <w:r>
        <w:rPr>
          <w:b/>
          <w:bCs/>
          <w:lang w:val="el" w:eastAsia="el"/>
        </w:rPr>
        <w:t>«β. Ηλεκτρονικά συστήματα, για τη μέτρηση του ύψους, της θερμοκρασίας, της πίεσης και της πυκνότητας,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 μπορούν να χρησιμοποιούνται, κατόπιν της προηγούμενης σχετικής προς τούτο έγκρισης της αρμόδιας Χημικής Υπηρεσίας της Γενικής Διεύθυνσης του Γ.Χ.Κ. της ΑΑΔΕ στην οποία υποβάλλεται από τον ενδιαφερόμενο πλήρης σχετική τεκμηρίωση.».</w:t>
      </w:r>
    </w:p>
    <w:p>
      <w:pPr>
        <w:spacing w:before="240" w:after="240"/>
        <w:rPr>
          <w:lang w:val="el" w:eastAsia="el"/>
        </w:rPr>
      </w:pPr>
      <w:r>
        <w:rPr>
          <w:lang w:val="el" w:eastAsia="el"/>
        </w:rPr>
        <w:t xml:space="preserve">4 </w:t>
      </w:r>
      <w:r>
        <w:rPr>
          <w:b/>
          <w:bCs/>
          <w:lang w:val="el" w:eastAsia="el"/>
        </w:rPr>
        <w:t>.Η περ. β. της παρ. 2 του άρθρου 7 αντικαθίσταται, ως ακολούθως:</w:t>
      </w:r>
    </w:p>
    <w:p>
      <w:pPr>
        <w:spacing w:before="240" w:after="240"/>
        <w:rPr>
          <w:lang w:val="el" w:eastAsia="el"/>
        </w:rPr>
      </w:pPr>
      <w:r>
        <w:rPr>
          <w:b/>
          <w:bCs/>
          <w:lang w:val="el" w:eastAsia="el"/>
        </w:rPr>
        <w:t>«β. Τα στοιχεία του κατά τα ανωτέρω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και για την υλοποίηση των προβλεπομένων σε περίπτωση διαπιστώσεως αποκλίσεων, ανακριβειών κ.λπ., σύμφωνα με την παρ. 5 του άρθρου 6 της παρούσας.».</w:t>
      </w:r>
    </w:p>
    <w:p>
      <w:pPr>
        <w:spacing w:before="240" w:after="240"/>
        <w:rPr>
          <w:lang w:val="el" w:eastAsia="el"/>
        </w:rPr>
      </w:pPr>
      <w:r>
        <w:rPr>
          <w:lang w:val="el" w:eastAsia="el"/>
        </w:rPr>
        <w:t xml:space="preserve">5 </w:t>
      </w:r>
      <w:r>
        <w:rPr>
          <w:b/>
          <w:bCs/>
          <w:lang w:val="el" w:eastAsia="el"/>
        </w:rPr>
        <w:t>.Το στοιχείο 6 του μέρους «Β. Συντομογραφίες» του Παραρτήματος Α΄ αντικαθίσταται, ως εξής: «6. EURAMET, νοείται η Ευρωπαϊκή Ένωση Εθνικών Μετρολογικών Ινστιτούτων (European Association of National Metrology Institutes).».</w:t>
      </w:r>
    </w:p>
    <w:p>
      <w:pPr>
        <w:spacing w:before="240" w:after="240"/>
        <w:rPr>
          <w:lang w:val="el" w:eastAsia="el"/>
        </w:rPr>
      </w:pPr>
      <w:r>
        <w:rPr>
          <w:lang w:val="el" w:eastAsia="el"/>
        </w:rPr>
        <w:t xml:space="preserve">6 </w:t>
      </w:r>
      <w:r>
        <w:rPr>
          <w:b/>
          <w:bCs/>
          <w:lang w:val="el" w:eastAsia="el"/>
        </w:rPr>
        <w:t>. Η παρ. 1 του «Κεφαλαίου IV: Μέθοδοι Ογκομέτρησης» του «Μέρους 1: Μετρολογικοί Έλεγχοι» του Παραρτήματος Δ΄ αντικαθίσταται, ως εξής:</w:t>
      </w:r>
    </w:p>
    <w:p>
      <w:pPr>
        <w:spacing w:before="240" w:after="240"/>
        <w:rPr>
          <w:lang w:val="el" w:eastAsia="el"/>
        </w:rPr>
      </w:pPr>
      <w:r>
        <w:rPr>
          <w:b/>
          <w:bCs/>
          <w:lang w:val="el" w:eastAsia="el"/>
        </w:rPr>
        <w:t>«1. Για την ογκομέτρηση εφαρμόζονται διάφορες μέθοδοι, σύμφωνα με τα οικεία διεθνή πρότυπα. Kατά την επιλογή της μεθόδου θα πρέπει να λαμβάνονται υπόψη τα εξής</w:t>
      </w:r>
      <w:r>
        <w:rPr>
          <w:b/>
          <w:bCs/>
          <w:i/>
          <w:iCs/>
          <w:lang w:val="el" w:eastAsia="el"/>
        </w:rPr>
        <w:t>:</w:t>
      </w:r>
      <w:r>
        <w:rPr>
          <w:b/>
          <w:bCs/>
          <w:lang w:val="el" w:eastAsia="el"/>
        </w:rPr>
        <w:t xml:space="preserve"> η χωρητικότητα της δεξαμενής, το σχήμα της, η θέση της σε σχέση με το έδαφος, οι συνθήκες χρήσης κ.λπ., σύμφωνα με το πεδίο διαπίστευσης του φορέα που θα διενεργήσει την ογκομέτρηση.».</w:t>
      </w:r>
    </w:p>
    <w:p>
      <w:pPr>
        <w:spacing w:before="240" w:after="240"/>
        <w:rPr>
          <w:lang w:val="el" w:eastAsia="el"/>
        </w:rPr>
      </w:pPr>
      <w:r>
        <w:rPr>
          <w:lang w:val="el" w:eastAsia="el"/>
        </w:rPr>
        <w:t xml:space="preserve">7 </w:t>
      </w:r>
      <w:r>
        <w:rPr>
          <w:b/>
          <w:bCs/>
          <w:lang w:val="el" w:eastAsia="el"/>
        </w:rPr>
        <w:t>. Το «Μέρος 2: ΟΓΚΟΜΕΤΡΗΣΗ ΔΕΞΑΜΕΝΩΝ ΜΕ ΤΗΝ ΟΓΚΟΜΕΤΡΙΚΗ ΜΕΘΟΔΟ» του Παραρτήματος Δ΄ καταργείται.</w:t>
      </w:r>
    </w:p>
    <w:p>
      <w:pPr>
        <w:spacing w:before="240" w:after="240"/>
        <w:rPr>
          <w:lang w:val="el" w:eastAsia="el"/>
        </w:rPr>
      </w:pPr>
      <w:r>
        <w:rPr>
          <w:lang w:val="el" w:eastAsia="el"/>
        </w:rPr>
        <w:t xml:space="preserve">8 </w:t>
      </w:r>
      <w:r>
        <w:rPr>
          <w:b/>
          <w:bCs/>
          <w:lang w:val="el" w:eastAsia="el"/>
        </w:rPr>
        <w:t>. Tο Παράρτημα Ε1 τροποποιείται, ως ακολούθως:</w:t>
      </w:r>
    </w:p>
    <w:p>
      <w:pPr>
        <w:spacing w:before="240" w:after="240"/>
        <w:rPr>
          <w:lang w:val="el" w:eastAsia="el"/>
        </w:rPr>
      </w:pPr>
      <w:r>
        <w:rPr>
          <w:b/>
          <w:bCs/>
          <w:lang w:val="el" w:eastAsia="el"/>
        </w:rPr>
        <w:t>α. Το τελευταίο εδάφιο της παρ. 2 του τμήματος «Α. Υποβολή αποτελεσμάτων και στοιχείων» του κεφαλαίου «III. 3</w:t>
      </w:r>
      <w:r>
        <w:rPr>
          <w:b/>
          <w:bCs/>
          <w:sz w:val="30"/>
          <w:szCs w:val="30"/>
          <w:vertAlign w:val="superscript"/>
          <w:lang w:val="el" w:eastAsia="el"/>
        </w:rPr>
        <w:t>η</w:t>
      </w:r>
      <w:r>
        <w:rPr>
          <w:b/>
          <w:bCs/>
          <w:lang w:val="el" w:eastAsia="el"/>
        </w:rPr>
        <w:t xml:space="preserve"> Φάση: Υποβολή των αποτελεσμάτων – Έλεγχος και αξιολόγηση» του «Μέρους 1 Αρχικός έλεγχος - ογκομέτρηση» τροποποιείται, ως εξής:</w:t>
      </w:r>
    </w:p>
    <w:p>
      <w:pPr>
        <w:spacing w:before="240" w:after="240"/>
        <w:rPr>
          <w:lang w:val="el" w:eastAsia="el"/>
        </w:rPr>
      </w:pPr>
      <w:r>
        <w:rPr>
          <w:b/>
          <w:bCs/>
          <w:lang w:val="el" w:eastAsia="el"/>
        </w:rPr>
        <w:t>«Οι ενδείξεις στους ογκομετρικούς πίνακες θα αναγράφονται ανά 1 mm.».</w:t>
      </w:r>
    </w:p>
    <w:p>
      <w:pPr>
        <w:spacing w:before="240" w:after="240"/>
        <w:rPr>
          <w:lang w:val="el" w:eastAsia="el"/>
        </w:rPr>
      </w:pPr>
      <w:r>
        <w:rPr>
          <w:b/>
          <w:bCs/>
          <w:lang w:val="el" w:eastAsia="el"/>
        </w:rPr>
        <w:t>β. Το πρώτο εδάφιο της παρ. 1 του τμήματος «Β. Έλεγχος και αξιολόγηση» του κεφαλαίου «III. 3</w:t>
      </w:r>
      <w:r>
        <w:rPr>
          <w:b/>
          <w:bCs/>
          <w:sz w:val="30"/>
          <w:szCs w:val="30"/>
          <w:vertAlign w:val="superscript"/>
          <w:lang w:val="el" w:eastAsia="el"/>
        </w:rPr>
        <w:t>η</w:t>
      </w:r>
      <w:r>
        <w:rPr>
          <w:b/>
          <w:bCs/>
          <w:lang w:val="el" w:eastAsia="el"/>
        </w:rPr>
        <w:t xml:space="preserve"> Φάση: Υποβολή των αποτελεσμάτων – Έλεγχος και αξιολόγηση» του «Μέρους 1 Αρχικός έλεγχος – Ογκομέτρηση» τροποποιείται, ως εξής:</w:t>
      </w:r>
    </w:p>
    <w:p>
      <w:pPr>
        <w:spacing w:before="240" w:after="240"/>
        <w:rPr>
          <w:lang w:val="el" w:eastAsia="el"/>
        </w:rPr>
      </w:pPr>
      <w:r>
        <w:rPr>
          <w:b/>
          <w:bCs/>
          <w:lang w:val="el" w:eastAsia="el"/>
        </w:rPr>
        <w:t>«Η Χημική Υπηρεσία Ελέγχου προβαίνει, εντός δεκαπέντε (15) εργάσιμων ημερών από της υποβολής τους, στον έλεγχο και αξιολόγηση των προαναφερθέντων στοιχείων, λαμβάνοντας υπόψη και τα αποτελέσματα και ευρήματα των τυχόν διενεργηθέντων, ελέγχων βάσει των σχετικών πρωτοκόλλων ελέγχου.».</w:t>
      </w:r>
    </w:p>
    <w:p>
      <w:pPr>
        <w:spacing w:before="240" w:after="240"/>
        <w:rPr>
          <w:lang w:val="el" w:eastAsia="el"/>
        </w:rPr>
      </w:pPr>
      <w:r>
        <w:rPr>
          <w:lang w:val="el" w:eastAsia="el"/>
        </w:rPr>
        <w:t xml:space="preserve">9 </w:t>
      </w:r>
      <w:r>
        <w:rPr>
          <w:b/>
          <w:bCs/>
          <w:lang w:val="el" w:eastAsia="el"/>
        </w:rPr>
        <w:t>. Tο Παράρτημα ΣΤ΄ αντικαθίσταται από το Παράρτημα της παρούσας, ως έπεται κατωτέρω και αποτελεί ενιαίο αναπόσπαστο μέρος της παρούσας.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Παράταση της προθεσμίας ογκομέτρησης δεξαμενών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Παρατείνεται από τη λήξη της, έως και 30-06-2024, η προθεσμία της περ. α. της παρ. 1 του άρθρου 8 της υπ’ αριθ. 30/003/000/817/2018 απόφασης Διοικητή της Ανεξάρτητης Αρχής Δημοσίων εσόδων (Β΄914) και για ογκομετρικούς πίνακες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υπ’ αρ. 30/003/000/817/2018 απόφασης Διοικητή ΑΑΔΕ (B΄914)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μέχρι 30-06-2024,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Έναρξη ισχύος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pStyle w:val="Heading2"/>
        <w:spacing w:before="240" w:after="240"/>
        <w:rPr>
          <w:lang w:val="el" w:eastAsia="el"/>
        </w:rPr>
      </w:pPr>
      <w:r>
        <w:rPr>
          <w:b/>
          <w:bCs/>
          <w:lang w:val="el" w:eastAsia="el"/>
        </w:rPr>
        <w:t>Τμήμα Ε΄</w:t>
      </w:r>
    </w:p>
    <w:p>
      <w:pPr>
        <w:pStyle w:val="Heading2"/>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Εξυπηρέτησης ΑΑΔΕ</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9. </w:t>
      </w:r>
      <w:r>
        <w:rPr>
          <w:b/>
          <w:bCs/>
          <w:lang w:val="el" w:eastAsia="el"/>
        </w:rPr>
        <w:t>Συντονιστικό Επιχειρησιακό Κέντρο (Σ.Ε.Κ.)</w:t>
      </w:r>
    </w:p>
    <w:p>
      <w:pPr>
        <w:spacing w:before="240" w:after="240"/>
        <w:rPr>
          <w:lang w:val="el" w:eastAsia="el"/>
        </w:rPr>
      </w:pPr>
      <w:r>
        <w:rPr>
          <w:lang w:val="el" w:eastAsia="el"/>
        </w:rPr>
        <w:t xml:space="preserve">10. </w:t>
      </w:r>
      <w:r>
        <w:rPr>
          <w:b/>
          <w:bCs/>
          <w:lang w:val="el" w:eastAsia="el"/>
        </w:rPr>
        <w:t>Δ/νση Εσωτερικού Ελέγχου Α.Α.Δ.Ε</w:t>
      </w:r>
    </w:p>
    <w:p>
      <w:pPr>
        <w:spacing w:before="240" w:after="240"/>
        <w:rPr>
          <w:lang w:val="el" w:eastAsia="el"/>
        </w:rPr>
      </w:pPr>
      <w:r>
        <w:rPr>
          <w:lang w:val="el" w:eastAsia="el"/>
        </w:rPr>
        <w:t xml:space="preserve">11. </w:t>
      </w:r>
      <w:r>
        <w:rPr>
          <w:b/>
          <w:bCs/>
          <w:lang w:val="el" w:eastAsia="el"/>
        </w:rPr>
        <w:t>Αυτοτελές Τμήμα Διεθνών Τελωνειακών Σχέσεων (Α.Τ.ΔΙ.Τ.Σ.)</w:t>
      </w:r>
    </w:p>
    <w:p>
      <w:pPr>
        <w:spacing w:before="240" w:after="240"/>
        <w:rPr>
          <w:lang w:val="el" w:eastAsia="el"/>
        </w:rPr>
      </w:pPr>
      <w:r>
        <w:rPr>
          <w:lang w:val="el" w:eastAsia="el"/>
        </w:rPr>
        <w:t xml:space="preserve">12.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13.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14. </w:t>
      </w:r>
      <w:r>
        <w:rPr>
          <w:b/>
          <w:bCs/>
          <w:lang w:val="el" w:eastAsia="el"/>
        </w:rPr>
        <w:t>Γενική Διεύθυνση Διαχείρισης Ανθρώπινου Δυναμικού και Οργάνωσης Α.Α.Δ.Ε. α) Διεύθυνση Οργάνωσης</w:t>
      </w:r>
    </w:p>
    <w:p>
      <w:pPr>
        <w:spacing w:before="240" w:after="240"/>
        <w:rPr>
          <w:lang w:val="el" w:eastAsia="el"/>
        </w:rPr>
      </w:pPr>
      <w:r>
        <w:rPr>
          <w:lang w:val="el" w:eastAsia="el"/>
        </w:rPr>
        <w:t xml:space="preserve">15.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16. </w:t>
      </w:r>
      <w:r>
        <w:rPr>
          <w:b/>
          <w:bCs/>
          <w:lang w:val="el" w:eastAsia="el"/>
        </w:rPr>
        <w:t>Οικονομικό Επιμελητήριο Ελλάδος 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17. </w:t>
      </w:r>
      <w:r>
        <w:rPr>
          <w:b/>
          <w:bCs/>
          <w:lang w:val="el" w:eastAsia="el"/>
        </w:rPr>
        <w:t>Κεντρική Ένωση Επιμελητηρίων Ελλάδος 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 Ακαδημίας 7, Τ.Κ.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19. </w:t>
      </w:r>
      <w:r>
        <w:rPr>
          <w:b/>
          <w:bCs/>
          <w:lang w:val="el" w:eastAsia="el"/>
        </w:rPr>
        <w:t>Βιοτεχνικό Επιμελητήριο Αθηνών Ακαδημίας 18, Τ.Κ.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20. </w:t>
      </w:r>
      <w:r>
        <w:rPr>
          <w:b/>
          <w:bCs/>
          <w:lang w:val="el" w:eastAsia="el"/>
        </w:rPr>
        <w:t>Σύνδεσμος Επιχειρήσεων και Βιομηχανιών (ΣΕΒ)</w:t>
      </w:r>
    </w:p>
    <w:p>
      <w:pPr>
        <w:spacing w:before="240" w:after="240"/>
        <w:rPr>
          <w:lang w:val="el" w:eastAsia="el"/>
        </w:rPr>
      </w:pPr>
      <w:r>
        <w:rPr>
          <w:b/>
          <w:bCs/>
          <w:lang w:val="el" w:eastAsia="el"/>
        </w:rPr>
        <w:t>(Με την παράκληση να ενημερώσει τα μέλη του) Ξενοφώντος 5, Τ.Κ. 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21. </w:t>
      </w:r>
      <w:r>
        <w:rPr>
          <w:b/>
          <w:bCs/>
          <w:lang w:val="el" w:eastAsia="el"/>
        </w:rPr>
        <w:t>Ομοσπονδία Εκτελωνιστών Ελλάδας Καραΐσκου 82, Τ.Κ. 185 32 – ΠΕΙΡΑΙΑΣ e-mail:</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23. </w:t>
      </w:r>
      <w:r>
        <w:rPr>
          <w:b/>
          <w:bCs/>
          <w:lang w:val="el" w:eastAsia="el"/>
        </w:rPr>
        <w:t>Σύνδεσμος Ελληνικών Αποσταγμάτων &amp; Οιν/δών Ποτών (ΣΕΑΟΠ) Χαλκοκονδύλη 34, Τ.Κ. 163 46 – Ηλιούπολη (Με την παράκληση να ενημερώσει τα μέλη του) e-mail:</w:t>
      </w:r>
      <w:hyperlink r:id="rId11" w:history="1">
        <w:r>
          <w:rPr>
            <w:rStyle w:val="Hyperlink"/>
            <w:b/>
            <w:bCs/>
            <w:color w:val="0000EE"/>
            <w:u w:color="0000EE"/>
            <w:lang w:val="el" w:eastAsia="el"/>
          </w:rPr>
          <w:t>info@seaop.gr</w:t>
        </w:r>
      </w:hyperlink>
      <w:r>
        <w:rPr>
          <w:b/>
          <w:bCs/>
          <w:lang w:val="el" w:eastAsia="el"/>
        </w:rPr>
        <w:t>,</w:t>
      </w:r>
      <w:hyperlink r:id="rId12"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24. </w:t>
      </w:r>
      <w:r>
        <w:rPr>
          <w:b/>
          <w:bCs/>
          <w:lang w:val="el" w:eastAsia="el"/>
        </w:rPr>
        <w:t>Ένωση Επιχειρήσεων Αλκοολούχων Ποτών (ΕΝ.Ε.Α.Π.) Κρώμνης 47,</w:t>
      </w:r>
    </w:p>
    <w:p>
      <w:pPr>
        <w:spacing w:before="240" w:after="240"/>
        <w:rPr>
          <w:lang w:val="el" w:eastAsia="el"/>
        </w:rPr>
      </w:pPr>
      <w:r>
        <w:rPr>
          <w:b/>
          <w:bCs/>
          <w:lang w:val="el" w:eastAsia="el"/>
        </w:rPr>
        <w:t>Τ.Κ. 164 52 - Αργυρούπολη (Με την παράκληση να ενημερώσει τα μέλη του) e-mail :</w:t>
      </w:r>
      <w:hyperlink r:id="rId13"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25. </w:t>
      </w:r>
      <w:r>
        <w:rPr>
          <w:b/>
          <w:bCs/>
          <w:lang w:val="el" w:eastAsia="el"/>
        </w:rPr>
        <w:t>Ένωση Αποσταγματοποιών Αμπελοοινικών Προϊόντων Ελλάδος (ΕΝ.ΑΠ.Α.Π.Ε.) Νίκης 50Α, Τ.Κ.105 58 Αθήνα e-mail:</w:t>
      </w:r>
      <w:hyperlink r:id="rId14"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26. </w:t>
      </w:r>
      <w:r>
        <w:rPr>
          <w:b/>
          <w:bCs/>
          <w:lang w:val="el" w:eastAsia="el"/>
        </w:rPr>
        <w:t>ΓΣΕΒΕΕ Αριστοτέλους 46, Τ.Κ. 104 33 Αθήνα e-mail:</w:t>
      </w:r>
      <w:hyperlink r:id="rId15"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27.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 spiliopoulos.gr</w:t>
        </w:r>
      </w:hyperlink>
    </w:p>
    <w:p>
      <w:pPr>
        <w:spacing w:before="240" w:after="240"/>
        <w:rPr>
          <w:lang w:val="el" w:eastAsia="el"/>
        </w:rPr>
      </w:pPr>
      <w:r>
        <w:rPr>
          <w:b/>
          <w:bCs/>
          <w:lang w:val="el" w:eastAsia="el"/>
        </w:rPr>
        <w:t xml:space="preserve">28. </w:t>
      </w:r>
      <w:r>
        <w:rPr>
          <w:b/>
          <w:bCs/>
          <w:lang w:val="el" w:eastAsia="el"/>
        </w:rPr>
        <w:t>«ALCOVIN» SA</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 alcovin.gr</w:t>
        </w:r>
      </w:hyperlink>
    </w:p>
    <w:p>
      <w:pPr>
        <w:spacing w:before="240" w:after="240"/>
        <w:rPr>
          <w:lang w:val="el" w:eastAsia="el"/>
        </w:rPr>
      </w:pPr>
      <w:r>
        <w:rPr>
          <w:b/>
          <w:bCs/>
          <w:lang w:val="el" w:eastAsia="el"/>
        </w:rPr>
        <w:t xml:space="preserve">29.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hxenou@ ellino.gr</w:t>
        </w:r>
      </w:hyperlink>
    </w:p>
    <w:p>
      <w:pPr>
        <w:spacing w:before="240" w:after="240"/>
        <w:rPr>
          <w:lang w:val="el" w:eastAsia="el"/>
        </w:rPr>
      </w:pPr>
      <w:r>
        <w:rPr>
          <w:b/>
          <w:bCs/>
          <w:lang w:val="el" w:eastAsia="el"/>
        </w:rPr>
        <w:t xml:space="preserve">30. </w:t>
      </w:r>
      <w:r>
        <w:rPr>
          <w:b/>
          <w:bCs/>
          <w:lang w:val="el" w:eastAsia="el"/>
        </w:rPr>
        <w:t>«Ένωση Ποτοποιών Καβάλας Α.Ε» e-mail:</w:t>
      </w:r>
      <w:hyperlink r:id="rId19"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31. </w:t>
      </w:r>
      <w:r>
        <w:rPr>
          <w:b/>
          <w:bCs/>
          <w:lang w:val="el" w:eastAsia="el"/>
        </w:rPr>
        <w:t>Εμπορικό και Βιομηχανικό Επιμελητήριο Θεσσαλονίκης Τσιμισκή 29</w:t>
      </w:r>
    </w:p>
    <w:p>
      <w:pPr>
        <w:spacing w:before="240" w:after="240"/>
        <w:rPr>
          <w:lang w:val="el" w:eastAsia="el"/>
        </w:rPr>
      </w:pPr>
      <w:r>
        <w:rPr>
          <w:b/>
          <w:bCs/>
          <w:lang w:val="el" w:eastAsia="el"/>
        </w:rPr>
        <w:t>Τ.Κ. 54624 Θεσσαλονίκη e-mail:</w:t>
      </w:r>
      <w:hyperlink r:id="rId20" w:history="1">
        <w:r>
          <w:rPr>
            <w:rStyle w:val="Hyperlink"/>
            <w:b/>
            <w:bCs/>
            <w:color w:val="0000EE"/>
            <w:u w:color="0000EE"/>
            <w:lang w:val="el" w:eastAsia="el"/>
          </w:rPr>
          <w:t>root@ ebeth .gr</w:t>
        </w:r>
      </w:hyperlink>
    </w:p>
    <w:p>
      <w:pPr>
        <w:spacing w:before="240" w:after="240"/>
        <w:rPr>
          <w:lang w:val="el" w:eastAsia="el"/>
        </w:rPr>
      </w:pPr>
      <w:r>
        <w:rPr>
          <w:b/>
          <w:bCs/>
          <w:lang w:val="el" w:eastAsia="el"/>
        </w:rPr>
        <w:t xml:space="preserve">32. </w:t>
      </w:r>
      <w:r>
        <w:rPr>
          <w:b/>
          <w:bCs/>
          <w:lang w:val="el" w:eastAsia="el"/>
        </w:rPr>
        <w:t>ΝΤΡΟΥΚΦΑΡΜΠΕΝ ΕΛΛΑΣ ΑΕΒΕ Ασπρόπυργος e-mail: contact.</w:t>
      </w:r>
      <w:hyperlink r:id="rId21" w:history="1">
        <w:r>
          <w:rPr>
            <w:rStyle w:val="Hyperlink"/>
            <w:b/>
            <w:bCs/>
            <w:color w:val="0000EE"/>
            <w:u w:color="0000EE"/>
            <w:lang w:val="el" w:eastAsia="el"/>
          </w:rPr>
          <w:t>us@ druckfarbengroup.com</w:t>
        </w:r>
      </w:hyperlink>
    </w:p>
    <w:p>
      <w:pPr>
        <w:spacing w:before="240" w:after="240"/>
        <w:rPr>
          <w:lang w:val="el" w:eastAsia="el"/>
        </w:rPr>
      </w:pPr>
      <w:r>
        <w:rPr>
          <w:b/>
          <w:bCs/>
          <w:lang w:val="el" w:eastAsia="el"/>
        </w:rPr>
        <w:t xml:space="preserve">33. </w:t>
      </w:r>
      <w:r>
        <w:rPr>
          <w:b/>
          <w:bCs/>
          <w:lang w:val="el" w:eastAsia="el"/>
        </w:rPr>
        <w:t>ΟΠΕΚΕΠΕ α) Γραφείο Γενικού Διευθυντή β) Δ/νση Άμεσων Ενισχύσεων</w:t>
      </w:r>
    </w:p>
    <w:p>
      <w:pPr>
        <w:spacing w:before="240" w:after="240"/>
        <w:rPr>
          <w:lang w:val="el" w:eastAsia="el"/>
        </w:rPr>
      </w:pPr>
      <w:r>
        <w:rPr>
          <w:b/>
          <w:bCs/>
          <w:lang w:val="el" w:eastAsia="el"/>
        </w:rPr>
        <w:t>Δομοκού 5, Τ.Κ. 104 45 Σταθμός Λαρίσης. e-mail:</w:t>
      </w:r>
      <w:hyperlink r:id="rId22" w:history="1">
        <w:r>
          <w:rPr>
            <w:rStyle w:val="Hyperlink"/>
            <w:b/>
            <w:bCs/>
            <w:color w:val="0000EE"/>
            <w:u w:color="0000EE"/>
            <w:lang w:val="el" w:eastAsia="el"/>
          </w:rPr>
          <w:t>attiki@ opekepe.gr</w:t>
        </w:r>
      </w:hyperlink>
    </w:p>
    <w:p>
      <w:pPr>
        <w:spacing w:before="240" w:after="240"/>
        <w:rPr>
          <w:lang w:val="el" w:eastAsia="el"/>
        </w:rPr>
      </w:pPr>
      <w:r>
        <w:rPr>
          <w:b/>
          <w:bCs/>
          <w:lang w:val="el" w:eastAsia="el"/>
        </w:rPr>
        <w:t xml:space="preserve">34. </w:t>
      </w:r>
      <w:r>
        <w:rPr>
          <w:b/>
          <w:bCs/>
          <w:lang w:val="el" w:eastAsia="el"/>
        </w:rPr>
        <w:t>ΠΑΣΕΓΕΣ Αρκαδίας 26 &amp; Μεσογείων,</w:t>
      </w:r>
    </w:p>
    <w:p>
      <w:pPr>
        <w:spacing w:before="240" w:after="240"/>
        <w:rPr>
          <w:lang w:val="el" w:eastAsia="el"/>
        </w:rPr>
      </w:pPr>
      <w:r>
        <w:rPr>
          <w:b/>
          <w:bCs/>
          <w:lang w:val="el" w:eastAsia="el"/>
        </w:rPr>
        <w:t>Τ.Κ. 115 26 Αθήνα (με την παράκληση να ενημερώσει τα μέλη της) e-mail:</w:t>
      </w:r>
      <w:hyperlink r:id="rId23" w:history="1">
        <w:r>
          <w:rPr>
            <w:rStyle w:val="Hyperlink"/>
            <w:b/>
            <w:bCs/>
            <w:color w:val="0000EE"/>
            <w:u w:color="0000EE"/>
            <w:lang w:val="el" w:eastAsia="el"/>
          </w:rPr>
          <w:t>info@ paseges.gr</w:t>
        </w:r>
      </w:hyperlink>
    </w:p>
    <w:p>
      <w:pPr>
        <w:spacing w:before="240" w:after="240"/>
        <w:rPr>
          <w:lang w:val="el" w:eastAsia="el"/>
        </w:rPr>
      </w:pPr>
      <w:r>
        <w:rPr>
          <w:b/>
          <w:bCs/>
          <w:lang w:val="el" w:eastAsia="el"/>
        </w:rPr>
        <w:t xml:space="preserve">35. </w:t>
      </w:r>
      <w:r>
        <w:rPr>
          <w:b/>
          <w:bCs/>
          <w:lang w:val="el" w:eastAsia="el"/>
        </w:rPr>
        <w:t>ΣΥΝΔΕΣΜΟΣ ΠΟΤΟΠΟΙΩΝ Ν. ΣΕΡΡΩΝ</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magia@otenet.gr</w:t>
        </w:r>
        <w:r>
          <w:rPr>
            <w:rStyle w:val="Hyperlink"/>
            <w:b/>
            <w:bCs/>
            <w:color w:val="0000EE"/>
            <w:u w:color="0000EE"/>
            <w:lang w:val="el" w:eastAsia="el"/>
          </w:rPr>
          <w:t>,</w:t>
        </w:r>
      </w:hyperlink>
      <w:hyperlink r:id="rId25" w:history="1">
        <w:r>
          <w:rPr>
            <w:rStyle w:val="Hyperlink"/>
            <w:b/>
            <w:bCs/>
            <w:color w:val="0000EE"/>
            <w:u w:color="0000EE"/>
            <w:lang w:val="el" w:eastAsia="el"/>
          </w:rPr>
          <w:t>koulas@yahoo.com</w:t>
        </w:r>
      </w:hyperlink>
    </w:p>
    <w:p>
      <w:pPr>
        <w:spacing w:before="240" w:after="240"/>
        <w:rPr>
          <w:lang w:val="el" w:eastAsia="el"/>
        </w:rPr>
      </w:pPr>
      <w:r>
        <w:rPr>
          <w:b/>
          <w:bCs/>
          <w:lang w:val="el" w:eastAsia="el"/>
        </w:rPr>
        <w:t xml:space="preserve">36. </w:t>
      </w:r>
      <w:r>
        <w:rPr>
          <w:b/>
          <w:bCs/>
          <w:lang w:val="el" w:eastAsia="el"/>
        </w:rPr>
        <w:t>ΓΕΣΑΣΕ Λεωφόρος</w:t>
      </w:r>
    </w:p>
    <w:p>
      <w:pPr>
        <w:spacing w:before="240" w:after="240"/>
        <w:rPr>
          <w:lang w:val="el" w:eastAsia="el"/>
        </w:rPr>
      </w:pPr>
      <w:r>
        <w:rPr>
          <w:b/>
          <w:bCs/>
          <w:lang w:val="el" w:eastAsia="el"/>
        </w:rPr>
        <w:t>Κηφισίας 16, Τ.Κ. 115 26 Αθήνα (με την παράκληση να ενημερώσει τα μέλη της) e-mail:</w:t>
      </w:r>
      <w:hyperlink r:id="rId26" w:history="1">
        <w:r>
          <w:rPr>
            <w:rStyle w:val="Hyperlink"/>
            <w:b/>
            <w:bCs/>
            <w:color w:val="0000EE"/>
            <w:u w:color="0000EE"/>
            <w:lang w:val="el" w:eastAsia="el"/>
          </w:rPr>
          <w:t>info@ gesase.gr</w:t>
        </w:r>
      </w:hyperlink>
    </w:p>
    <w:p>
      <w:pPr>
        <w:spacing w:before="240" w:after="240"/>
        <w:rPr>
          <w:lang w:val="el" w:eastAsia="el"/>
        </w:rPr>
      </w:pPr>
      <w:r>
        <w:rPr>
          <w:b/>
          <w:bCs/>
          <w:lang w:val="el" w:eastAsia="el"/>
        </w:rPr>
        <w:t xml:space="preserve">37. </w:t>
      </w:r>
      <w:r>
        <w:rPr>
          <w:b/>
          <w:bCs/>
          <w:lang w:val="el" w:eastAsia="el"/>
        </w:rPr>
        <w:t>ΣΥΔΑΣΕ Βερανζέρου 31, Αθήνα (με την παράκληση να ενημερώσει τα μέλη της) e-mail:</w:t>
      </w:r>
      <w:hyperlink r:id="rId27" w:history="1">
        <w:r>
          <w:rPr>
            <w:rStyle w:val="Hyperlink"/>
            <w:b/>
            <w:bCs/>
            <w:color w:val="0000EE"/>
            <w:u w:color="0000EE"/>
            <w:lang w:val="el" w:eastAsia="el"/>
          </w:rPr>
          <w:t>sydase@ 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Δ/νση Αλκοόλης και Τροφίμων / Τμήμα 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 Α Ρ Α Ρ Τ Η Μ Α ΣΤ</w:t>
      </w:r>
    </w:p>
    <w:p>
      <w:pPr>
        <w:spacing w:before="240" w:after="240"/>
        <w:rPr>
          <w:lang w:val="el" w:eastAsia="el"/>
        </w:rPr>
      </w:pPr>
      <w:r>
        <w:rPr>
          <w:b/>
          <w:bCs/>
          <w:lang w:val="el" w:eastAsia="el"/>
        </w:rPr>
        <w:t>ΕΓΚΡΙΣΗ ΧΡΗΣΗΣ ΔΕΞΑΜΕΝΗΣ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ΤΜΗΜΑ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w:t>
      </w:r>
    </w:p>
    <w:p>
      <w:pPr>
        <w:spacing w:before="240" w:after="240"/>
        <w:rPr>
          <w:lang w:val="el" w:eastAsia="el"/>
        </w:rPr>
      </w:pPr>
      <w:r>
        <w:rPr>
          <w:b/>
          <w:bCs/>
          <w:lang w:val="el" w:eastAsia="el"/>
        </w:rPr>
        <w:t>Δικαιούχος Επιτηδευματίας</w:t>
      </w:r>
    </w:p>
    <w:p>
      <w:pPr>
        <w:spacing w:before="240" w:after="240"/>
        <w:rPr>
          <w:lang w:val="el" w:eastAsia="el"/>
        </w:rPr>
      </w:pPr>
      <w:r>
        <w:rPr>
          <w:b/>
          <w:bCs/>
          <w:lang w:val="el" w:eastAsia="el"/>
        </w:rPr>
        <w:t xml:space="preserve">1. </w:t>
      </w:r>
      <w:r>
        <w:rPr>
          <w:b/>
          <w:bCs/>
          <w:lang w:val="el" w:eastAsia="el"/>
        </w:rPr>
        <w:t>Μετά την υποβολή της αριθ. πρωτ.: ……………………………………αίτησής σας, για τη χορήγηση αναγνώρισης και έγκρισης χρήσης της δεξαμενής με στοιχεία ……………………………………………………που ευρίσκεται……………………………, και έχοντας υπόψη :</w:t>
      </w:r>
    </w:p>
    <w:p>
      <w:pPr>
        <w:spacing w:before="240" w:after="240"/>
        <w:rPr>
          <w:lang w:val="el" w:eastAsia="el"/>
        </w:rPr>
      </w:pPr>
      <w:r>
        <w:rPr>
          <w:b/>
          <w:bCs/>
          <w:lang w:val="el" w:eastAsia="el"/>
        </w:rPr>
        <w:t>α. Την υπ’ αριθ. ………………………………ΑΥΟ</w:t>
      </w:r>
    </w:p>
    <w:p>
      <w:pPr>
        <w:spacing w:before="240" w:after="240"/>
        <w:rPr>
          <w:lang w:val="el" w:eastAsia="el"/>
        </w:rPr>
      </w:pPr>
      <w:r>
        <w:rPr>
          <w:b/>
          <w:bCs/>
          <w:lang w:val="el" w:eastAsia="el"/>
        </w:rPr>
        <w:t>β. Τα υποβληθέντα με την κατά ανωτέρω αίτηση στοιχεία （σχέδια, τεχνικός φάκελος, ………………）</w:t>
      </w:r>
    </w:p>
    <w:p>
      <w:pPr>
        <w:spacing w:before="240" w:after="240"/>
        <w:rPr>
          <w:lang w:val="el" w:eastAsia="el"/>
        </w:rPr>
      </w:pPr>
      <w:r>
        <w:rPr>
          <w:b/>
          <w:bCs/>
          <w:lang w:val="el" w:eastAsia="el"/>
        </w:rPr>
        <w:t>γ. Τη σχετική υπ’ αριθ. ……………………… εισήγηση της οικείας Χημικής Υπηρεσίας Ελέγχου （Χ.Υ. ……………………） /της οικείας επιτροπής που συστάθηκε με την υπ’ αριθ …………………………….απόφασή μας.</w:t>
      </w:r>
    </w:p>
    <w:p>
      <w:pPr>
        <w:spacing w:before="240" w:after="240"/>
        <w:rPr>
          <w:lang w:val="el" w:eastAsia="el"/>
        </w:rPr>
      </w:pPr>
      <w:r>
        <w:rPr>
          <w:b/>
          <w:bCs/>
          <w:lang w:val="el" w:eastAsia="el"/>
        </w:rPr>
        <w:t>δ. Τον υποβληθέντα σχετικό Ογκομετρικό Πίνακα και τα σχετικά συνημμένα σε αυτόν στοιχεία που έγινε αποδεκτός από την οικεία Χημική Υπηρεσία Ελέγχου （Χ.Υ ……………………）/ την κατά ανωτέρω επιτροπή. ε. Τα στοιχεία σφράγισης της εν λόγω δεξαμενής</w:t>
      </w:r>
    </w:p>
    <w:p>
      <w:pPr>
        <w:spacing w:before="240" w:after="240"/>
        <w:rPr>
          <w:lang w:val="el" w:eastAsia="el"/>
        </w:rPr>
      </w:pPr>
      <w:r>
        <w:rPr>
          <w:b/>
          <w:bCs/>
          <w:lang w:val="el" w:eastAsia="el"/>
        </w:rPr>
        <w:t>στ. ……………………………………………………………….</w:t>
      </w:r>
    </w:p>
    <w:p>
      <w:pPr>
        <w:spacing w:before="240" w:after="240"/>
        <w:rPr>
          <w:lang w:val="el" w:eastAsia="el"/>
        </w:rPr>
      </w:pPr>
      <w:r>
        <w:rPr>
          <w:b/>
          <w:bCs/>
          <w:lang w:val="el" w:eastAsia="el"/>
        </w:rPr>
        <w:t>Χορηγούμε την αναγνώριση και την έγκριση χρήσης, σύμφωνα με τους όρους και διατάξεις της υπ’ αριθ.………………………………, της κατά τα ανωτέρω δεξαμενής με στοιχεία</w:t>
      </w:r>
    </w:p>
    <w:p>
      <w:pPr>
        <w:spacing w:before="240" w:after="240"/>
        <w:rPr>
          <w:lang w:val="el" w:eastAsia="el"/>
        </w:rPr>
      </w:pPr>
      <w:r>
        <w:rPr>
          <w:b/>
          <w:bCs/>
          <w:lang w:val="el" w:eastAsia="el"/>
        </w:rPr>
        <w:t xml:space="preserve">………………………………………………………………………………………………………………………, </w:t>
      </w:r>
      <w:r>
        <w:rPr>
          <w:b/>
          <w:bCs/>
          <w:i/>
          <w:iCs/>
          <w:lang w:val="el" w:eastAsia="el"/>
        </w:rPr>
        <w:t>με την επιφύλαξη του δικαιώματός μας της ανά πάσα στιγμής ανακλήσεώς της και υπό την αίρεση της από μέρους σας αποδοχής της τήρησης των υποχρεώσεών σας όπως αυτές απορρέουν από τις ισχύουσες διατάξεις.</w:t>
      </w:r>
    </w:p>
    <w:p>
      <w:pPr>
        <w:spacing w:before="240" w:after="240"/>
        <w:rPr>
          <w:lang w:val="el" w:eastAsia="el"/>
        </w:rPr>
      </w:pPr>
      <w:r>
        <w:rPr>
          <w:b/>
          <w:bCs/>
          <w:lang w:val="el" w:eastAsia="el"/>
        </w:rPr>
        <w:t xml:space="preserve">2. </w:t>
      </w:r>
      <w:r>
        <w:rPr>
          <w:b/>
          <w:bCs/>
          <w:lang w:val="el" w:eastAsia="el"/>
        </w:rPr>
        <w:t>Η παρούσα έγκριση σας παρέχει το δικαίωμα χρήσης της δεξαμενής για 15 （δεκαπέντε） έτη υπό την προϋπόθεση της μη μεταβολής των στοιχείων και της θέσης αυτής.</w:t>
      </w:r>
    </w:p>
    <w:p>
      <w:pPr>
        <w:spacing w:before="240" w:after="240"/>
        <w:rPr>
          <w:lang w:val="el" w:eastAsia="el"/>
        </w:rPr>
      </w:pPr>
      <w:r>
        <w:rPr>
          <w:b/>
          <w:bCs/>
          <w:lang w:val="el" w:eastAsia="el"/>
        </w:rPr>
        <w:t>Με την παρέλευση της δεκαπενταετίας υποχρεούστε σε εκ νέου μέτρηση.</w:t>
      </w:r>
    </w:p>
    <w:p>
      <w:pPr>
        <w:spacing w:before="240" w:after="240"/>
        <w:rPr>
          <w:lang w:val="el" w:eastAsia="el"/>
        </w:rPr>
      </w:pPr>
      <w:r>
        <w:rPr>
          <w:b/>
          <w:bCs/>
          <w:lang w:val="el" w:eastAsia="el"/>
        </w:rPr>
        <w:t>Σε περίπτωση μεσολάβησης διενέργειας περιοδικού ελέγχου της δεξαμενής η προθεσμία αυτή παρατείνεται για επιπλέον 5 （πέντε） έτη.</w:t>
      </w:r>
    </w:p>
    <w:p>
      <w:pPr>
        <w:spacing w:before="240" w:after="240"/>
        <w:rPr>
          <w:lang w:val="el" w:eastAsia="el"/>
        </w:rPr>
      </w:pPr>
      <w:r>
        <w:rPr>
          <w:b/>
          <w:bCs/>
          <w:lang w:val="el" w:eastAsia="el"/>
        </w:rPr>
        <w:t xml:space="preserve">3. </w:t>
      </w:r>
      <w:r>
        <w:rPr>
          <w:b/>
          <w:bCs/>
          <w:lang w:val="el" w:eastAsia="el"/>
        </w:rPr>
        <w:t>Η παρούσα αναγνώριση και έγκριση χρήσης εκδίδεται σε ένα πρωτότυπο και πέντε αντίγραφα, συνοδεύεται από το σχετικό ογκομετρικό πίνακα της δεξαμενής μετά των σε αυτόν συνημμένων στοιχείων, ισχύει από την έκδοσή της και ανακαλείται όταν δεν πληρούνται οι όροι και οι προϋποθέσεις χορήγησής της. Η μη τήρηση των υποχρεώσεων του δικαιούχου της έγκρισης, συνιστά επίσης λόγο ανάκλησής της.</w:t>
      </w:r>
    </w:p>
    <w:p>
      <w:pPr>
        <w:spacing w:before="240" w:after="240"/>
        <w:rPr>
          <w:lang w:val="el" w:eastAsia="el"/>
        </w:rPr>
      </w:pPr>
      <w:r>
        <w:rPr>
          <w:b/>
          <w:bCs/>
          <w:lang w:val="el" w:eastAsia="el"/>
        </w:rPr>
        <w:t>ΠΡΑΞΗ ΠΑΡΑΛΑΒΗΣ ΚΑΙ ΑΠΟΔΟΧΗΣ</w:t>
      </w:r>
    </w:p>
    <w:p>
      <w:pPr>
        <w:spacing w:before="240" w:after="240"/>
        <w:rPr>
          <w:lang w:val="el" w:eastAsia="el"/>
        </w:rPr>
      </w:pPr>
      <w:r>
        <w:rPr>
          <w:b/>
          <w:bCs/>
          <w:lang w:val="el" w:eastAsia="el"/>
        </w:rPr>
        <w:t>Παραλαμβάνω το πρωτότυπο και ένα αντίγραφο της παρούσας αναγνώρισης και έγκρισης χρήσης.</w:t>
      </w:r>
    </w:p>
    <w:p>
      <w:pPr>
        <w:spacing w:before="240" w:after="240"/>
        <w:rPr>
          <w:lang w:val="el" w:eastAsia="el"/>
        </w:rPr>
      </w:pPr>
      <w:r>
        <w:rPr>
          <w:b/>
          <w:bCs/>
          <w:lang w:val="el" w:eastAsia="el"/>
        </w:rPr>
        <w:t>Αποδέχομαι την παρούσα έγκριση και θα τηρήσω τους όρους της.</w:t>
      </w:r>
    </w:p>
    <w:p>
      <w:pPr>
        <w:spacing w:before="240" w:after="240"/>
        <w:rPr>
          <w:lang w:val="el" w:eastAsia="el"/>
        </w:rPr>
      </w:pPr>
      <w:r>
        <w:rPr>
          <w:b/>
          <w:bCs/>
          <w:lang w:val="el" w:eastAsia="el"/>
        </w:rPr>
        <w:t xml:space="preserve">Ημερομηνία : </w:t>
      </w:r>
    </w:p>
    <w:p>
      <w:pPr>
        <w:spacing w:before="240" w:after="240"/>
        <w:rPr>
          <w:lang w:val="el" w:eastAsia="el"/>
        </w:rPr>
      </w:pPr>
      <w:r>
        <w:rPr>
          <w:b/>
          <w:bCs/>
          <w:lang w:val="el" w:eastAsia="el"/>
        </w:rPr>
        <w:t>Υπογραφή (Πλήρες ονοματεπώνυμο του δικαιούχου)»</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Τελωνεία Α΄, Β΄ &amp; Τοπικά Τελωνειακά Γραφεία</w:t>
      </w:r>
    </w:p>
    <w:p>
      <w:pPr>
        <w:spacing w:before="240" w:after="240"/>
        <w:rPr>
          <w:lang w:val="el" w:eastAsia="el"/>
        </w:rPr>
      </w:pPr>
      <w:r>
        <w:rPr>
          <w:b/>
          <w:bCs/>
          <w:lang w:val="el" w:eastAsia="el"/>
        </w:rPr>
        <w:t xml:space="preserve">3. </w:t>
      </w:r>
      <w:r>
        <w:rPr>
          <w:b/>
          <w:bCs/>
          <w:lang w:val="el" w:eastAsia="el"/>
        </w:rPr>
        <w:t>Γενικό Χημείο του Κράτους (Για άμεση κοινοποίηση της παρούσας στις Χημικές Υπηρεσίες)</w:t>
      </w:r>
    </w:p>
    <w:p>
      <w:pPr>
        <w:spacing w:before="240" w:after="240"/>
        <w:rPr>
          <w:lang w:val="el" w:eastAsia="el"/>
        </w:rPr>
      </w:pPr>
      <w:r>
        <w:rPr>
          <w:b/>
          <w:bCs/>
          <w:lang w:val="el" w:eastAsia="el"/>
        </w:rPr>
        <w:t xml:space="preserve">4.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aop.gr" TargetMode="External" /><Relationship Id="rId12" Type="http://schemas.openxmlformats.org/officeDocument/2006/relationships/hyperlink" Target="mailto:seaop@hol.gr" TargetMode="External" /><Relationship Id="rId13" Type="http://schemas.openxmlformats.org/officeDocument/2006/relationships/hyperlink" Target="mailto:sp@downtown.com.gr" TargetMode="External" /><Relationship Id="rId14" Type="http://schemas.openxmlformats.org/officeDocument/2006/relationships/hyperlink" Target="mailto:enapape@gmail.com" TargetMode="External" /><Relationship Id="rId15" Type="http://schemas.openxmlformats.org/officeDocument/2006/relationships/hyperlink" Target="mailto:info@gsevee.gr" TargetMode="External" /><Relationship Id="rId16" Type="http://schemas.openxmlformats.org/officeDocument/2006/relationships/hyperlink" Target="mailto:info@spiliopoulos.gr" TargetMode="External" /><Relationship Id="rId17" Type="http://schemas.openxmlformats.org/officeDocument/2006/relationships/hyperlink" Target="mailto:info@alcovin.gr" TargetMode="External" /><Relationship Id="rId18" Type="http://schemas.openxmlformats.org/officeDocument/2006/relationships/hyperlink" Target="mailto:hxenou@ellino.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hyperlink" Target="mailto:root@ebeth.gr" TargetMode="External" /><Relationship Id="rId21" Type="http://schemas.openxmlformats.org/officeDocument/2006/relationships/hyperlink" Target="mailto:us@druckfarbengroup.com" TargetMode="External" /><Relationship Id="rId22" Type="http://schemas.openxmlformats.org/officeDocument/2006/relationships/hyperlink" Target="mailto:attiki@opekepe.gr" TargetMode="External" /><Relationship Id="rId23" Type="http://schemas.openxmlformats.org/officeDocument/2006/relationships/hyperlink" Target="mailto:info@paseges.gr" TargetMode="External" /><Relationship Id="rId24" Type="http://schemas.openxmlformats.org/officeDocument/2006/relationships/hyperlink" Target="mailto:magia@otenet.gr" TargetMode="External" /><Relationship Id="rId25" Type="http://schemas.openxmlformats.org/officeDocument/2006/relationships/hyperlink" Target="mailto:koulas@yahoo.com" TargetMode="External" /><Relationship Id="rId26" Type="http://schemas.openxmlformats.org/officeDocument/2006/relationships/hyperlink" Target="mailto:info@gesase.gr" TargetMode="External" /><Relationship Id="rId27" Type="http://schemas.openxmlformats.org/officeDocument/2006/relationships/hyperlink" Target="mailto:sydase@otenet.gr"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mailto:dat.gcsl@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