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9ΠΗ846ΜΠ3Ζ-Χ3Π</w:t>
      </w:r>
    </w:p>
    <w:p>
      <w:pPr>
        <w:pStyle w:val="PreambelText"/>
        <w:spacing w:before="240" w:after="240"/>
        <w:rPr>
          <w:lang w:val="el" w:eastAsia="el"/>
        </w:rPr>
      </w:pPr>
      <w:r>
        <w:rPr>
          <w:b/>
          <w:bCs/>
          <w:lang w:val="el" w:eastAsia="el"/>
        </w:rPr>
        <w:t>Αριθ. ΦΕΚ: Β΄6859/7.12.2023</w:t>
      </w:r>
    </w:p>
    <w:p>
      <w:pPr>
        <w:pStyle w:val="PreambelText"/>
        <w:spacing w:before="240" w:after="240"/>
        <w:rPr>
          <w:lang w:val="el" w:eastAsia="el"/>
        </w:rPr>
      </w:pPr>
      <w:r>
        <w:rPr>
          <w:b/>
          <w:bCs/>
          <w:lang w:val="el" w:eastAsia="el"/>
        </w:rPr>
        <w:t>Αθήνα, 5 Δεκεμβρίου 2023</w:t>
      </w:r>
    </w:p>
    <w:p>
      <w:pPr>
        <w:pStyle w:val="PreambelText"/>
        <w:spacing w:before="240" w:after="240"/>
        <w:rPr>
          <w:lang w:val="el" w:eastAsia="el"/>
        </w:rPr>
      </w:pPr>
      <w:r>
        <w:rPr>
          <w:b/>
          <w:bCs/>
          <w:lang w:val="el" w:eastAsia="el"/>
        </w:rPr>
        <w:t>Α.1195</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ΣΤΡΑΤΗΓΙΚΗΣ ΤΕΧΝΟΛΟΓΙΩΝ ΠΛΗΡΟΦΟΡΙΚΗΣ 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Θέμα: «Τροποποίηση της υπό στοιχεία Α.1137/06.09.2023 απόφασης του Διοικητή της Ανεξάρτητης Αρχής Δημοσίων Εσόδων (Α.Α.Δ.Ε.)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ν.4308/2014 (Α΄251), στην Ανεξάρτητη Αρχή Δημοσίων Εσόδων, για την τήρηση του Μητρώου Μέσων Πληρωμών.»(Β’ 5380).»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5 του άρθρου 14, καθώς και του άρθρου 15 του Κώδικα Φορολογικής Διαδικασίας (ν. 4987/2022, Α΄206),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Α.1137/06.09.2023 απόφαση του Διοικητή της Ανεξάρτητης Αρχής Δημοσίων Εσόδων (Α.Α.Δ.Ε.)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ν.4308/2014 (Α΄251), στην Ανεξάρτητη Αρχή Δημοσίων Εσόδων, για την τήρηση του Μητρώου Μέσων Πληρωμών.»(Β’ 5380).</w:t>
      </w:r>
    </w:p>
    <w:p>
      <w:pPr>
        <w:spacing w:before="240" w:after="240"/>
        <w:rPr>
          <w:lang w:val="el" w:eastAsia="el"/>
        </w:rPr>
      </w:pPr>
      <w:r>
        <w:rPr>
          <w:lang w:val="el" w:eastAsia="el"/>
        </w:rPr>
        <w:t xml:space="preserve">3. </w:t>
      </w:r>
      <w:r>
        <w:rPr>
          <w:b/>
          <w:bCs/>
          <w:lang w:val="el" w:eastAsia="el"/>
        </w:rPr>
        <w:t>Την υπ’ αριθ.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αριθ. 39/3/30.11.2017 (Υ.Ο.Δ.Δ. 689) του Συμβουλίου Διοίκησης της Α.Α.Δ.Ε. και υπό στοιχεία 5294ΕΞ2020/17.01.2020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παροχής πρόσθετου χρόνου στις υπόχρεες οντότητες του άρθρου 1 του ν.4308/2014 (Α΄251) για την καταγραφή των τερματικών αποδοχής καρτών πληρωμών και ανάλογων μέσων πληρωμών, που χρησιμοποιούν, με σκοπό την ορθή εκπλήρωση των υποχρεώσεων που απορρέουν από τα οριζόμενα στην παρ. 3β του άρθρου 15 ΚΦΔ.</w:t>
      </w:r>
    </w:p>
    <w:p>
      <w:pPr>
        <w:spacing w:before="240" w:after="240"/>
        <w:rPr>
          <w:lang w:val="el" w:eastAsia="el"/>
        </w:rPr>
      </w:pPr>
      <w:r>
        <w:rPr>
          <w:lang w:val="el" w:eastAsia="el"/>
        </w:rPr>
        <w:t xml:space="preserve">5.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 1137/6.9.2023 απόφαση του Διοικητή της Α.Α.Δ.Ε.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ν.4308/2014 (Α΄251), στην Ανεξάρτητη Αρχή Δημοσίων Εσόδων, για την τήρηση του Μητρώου Μέσων Πληρωμών»,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5 του άρθρου 4 αντικαθίσταται ως εξής: «5. Οι Χρήστες Υπηρεσιών Πληρωμών, εφόσον υφίσταται υποχρέωση, υποβάλλουν Δήλωση Μέσων Πληρωμών μέσω της ψηφιακής πύλης της ΑΑΔΕ (myAADE) από την 11</w:t>
      </w:r>
      <w:r>
        <w:rPr>
          <w:b/>
          <w:bCs/>
          <w:sz w:val="30"/>
          <w:szCs w:val="30"/>
          <w:vertAlign w:val="superscript"/>
          <w:lang w:val="el" w:eastAsia="el"/>
        </w:rPr>
        <w:t>η</w:t>
      </w:r>
      <w:r>
        <w:rPr>
          <w:b/>
          <w:bCs/>
          <w:lang w:val="el" w:eastAsia="el"/>
        </w:rPr>
        <w:t xml:space="preserve"> έως και την τελευταία ημέρα του επόμενου μήνα από την ημερομηνία ενεργοποίησης/απενεργοποίησης/μεταβολής του μέσου. Ως πρώτος μήνας εφαρμογής της σχετικής υποχρέωσης ορίζεται ο Οκτώβριος του 2023, με υποβαλλόμενα στοιχεία τα σχετικά με τα ενεργά Μέσα Πληρωμών, κατά την 30</w:t>
      </w:r>
      <w:r>
        <w:rPr>
          <w:b/>
          <w:bCs/>
          <w:sz w:val="30"/>
          <w:szCs w:val="30"/>
          <w:vertAlign w:val="superscript"/>
          <w:lang w:val="el" w:eastAsia="el"/>
        </w:rPr>
        <w:t>η</w:t>
      </w:r>
      <w:r>
        <w:rPr>
          <w:b/>
          <w:bCs/>
          <w:lang w:val="el" w:eastAsia="el"/>
        </w:rPr>
        <w:t xml:space="preserve"> Σεπτεμβρίου 2023, ανεξάρτητα από την ημερομηνία ενεργοποίησης αυτών και καταληκτική ημερομηνία υποβολής δήλωσης την 17</w:t>
      </w:r>
      <w:r>
        <w:rPr>
          <w:b/>
          <w:bCs/>
          <w:sz w:val="30"/>
          <w:szCs w:val="30"/>
          <w:vertAlign w:val="superscript"/>
          <w:lang w:val="el" w:eastAsia="el"/>
        </w:rPr>
        <w:t>η</w:t>
      </w:r>
      <w:r>
        <w:rPr>
          <w:b/>
          <w:bCs/>
          <w:lang w:val="el" w:eastAsia="el"/>
        </w:rPr>
        <w:t xml:space="preserve"> Νοεμβρίου του 2023. Για τις ενεργοποιήσεις/ απενεργοποιήσεις/ μεταβολές που λαμβάνουν χώρα εντός του Οκτωβρίου του 2023 ως καταληκτική ημερομηνία υποβολής δήλωσης ορίζεται η 15</w:t>
      </w:r>
      <w:r>
        <w:rPr>
          <w:b/>
          <w:bCs/>
          <w:sz w:val="30"/>
          <w:szCs w:val="30"/>
          <w:vertAlign w:val="superscript"/>
          <w:lang w:val="el" w:eastAsia="el"/>
        </w:rPr>
        <w:t>η</w:t>
      </w:r>
      <w:r>
        <w:rPr>
          <w:b/>
          <w:bCs/>
          <w:lang w:val="el" w:eastAsia="el"/>
        </w:rPr>
        <w:t xml:space="preserve"> Δεκεμβρίου 2023 ενώ για τις αντίστοιχες του Νοεμβρίου του 2023 ως καταληκτική ημερομηνία υποβολής δήλωσης ορίζεται η 9</w:t>
      </w:r>
      <w:r>
        <w:rPr>
          <w:b/>
          <w:bCs/>
          <w:sz w:val="30"/>
          <w:szCs w:val="30"/>
          <w:vertAlign w:val="superscript"/>
          <w:lang w:val="el" w:eastAsia="el"/>
        </w:rPr>
        <w:t>η</w:t>
      </w:r>
      <w:r>
        <w:rPr>
          <w:b/>
          <w:bCs/>
          <w:lang w:val="el" w:eastAsia="el"/>
        </w:rPr>
        <w:t xml:space="preserve"> Ιανουαρίου 2024.».</w:t>
      </w:r>
    </w:p>
    <w:p>
      <w:pPr>
        <w:spacing w:before="240" w:after="240"/>
        <w:rPr>
          <w:lang w:val="el" w:eastAsia="el"/>
        </w:rPr>
      </w:pPr>
      <w:r>
        <w:rPr>
          <w:lang w:val="el" w:eastAsia="el"/>
        </w:rPr>
        <w:t xml:space="preserve">2. </w:t>
      </w:r>
      <w:r>
        <w:rPr>
          <w:b/>
          <w:bCs/>
          <w:lang w:val="el" w:eastAsia="el"/>
        </w:rPr>
        <w:t>Η απόφαση αυτή ισχύει από την δημοσίευση της στην Εφημερίδα της Κυβερνήσεως. 3. 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 ΔημοσίωνΕσόδων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Β’,Γ’</w:t>
      </w:r>
    </w:p>
    <w:p>
      <w:pPr>
        <w:spacing w:before="240" w:after="240"/>
        <w:rPr>
          <w:lang w:val="el" w:eastAsia="el"/>
        </w:rPr>
      </w:pPr>
      <w:r>
        <w:rPr>
          <w:lang w:val="el" w:eastAsia="el"/>
        </w:rPr>
        <w:t xml:space="preserve">3.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κου Υφυπουργού Οικονομικών</w:t>
      </w:r>
    </w:p>
    <w:p>
      <w:pPr>
        <w:spacing w:before="240" w:after="240"/>
        <w:rPr>
          <w:lang w:val="el" w:eastAsia="el"/>
        </w:rPr>
      </w:pPr>
      <w:r>
        <w:rPr>
          <w:lang w:val="el" w:eastAsia="el"/>
        </w:rPr>
        <w:t xml:space="preserve">3. </w:t>
      </w:r>
      <w:r>
        <w:rPr>
          <w:b/>
          <w:bCs/>
          <w:lang w:val="el" w:eastAsia="el"/>
        </w:rPr>
        <w:t>Γραφείο κ. Γεν. Γραμματέως Φορολογικής Πολιτικής</w:t>
      </w:r>
    </w:p>
    <w:p>
      <w:pPr>
        <w:spacing w:before="240" w:after="240"/>
        <w:rPr>
          <w:lang w:val="el" w:eastAsia="el"/>
        </w:rPr>
      </w:pPr>
      <w:r>
        <w:rPr>
          <w:lang w:val="el" w:eastAsia="el"/>
        </w:rPr>
        <w:t xml:space="preserve">4. </w:t>
      </w:r>
      <w:r>
        <w:rPr>
          <w:b/>
          <w:bCs/>
          <w:lang w:val="el" w:eastAsia="el"/>
        </w:rPr>
        <w:t>Προϊστάμενος της Γενικής Δ/νσης ΣΔΟΕ</w:t>
      </w:r>
    </w:p>
    <w:p>
      <w:pPr>
        <w:spacing w:before="240" w:after="240"/>
        <w:rPr>
          <w:lang w:val="el" w:eastAsia="el"/>
        </w:rPr>
      </w:pPr>
      <w:r>
        <w:rPr>
          <w:lang w:val="el" w:eastAsia="el"/>
        </w:rPr>
        <w:t xml:space="preserve">5. </w:t>
      </w:r>
      <w:r>
        <w:rPr>
          <w:b/>
          <w:bCs/>
          <w:lang w:val="el" w:eastAsia="el"/>
        </w:rPr>
        <w:t>Δ/νσεις Κ.Υ. ΣΔΟΕ και ειδικές αποκεντρωμένες υπηρεσίες ΣΔΟΕ</w:t>
      </w:r>
    </w:p>
    <w:p>
      <w:pPr>
        <w:spacing w:before="240" w:after="240"/>
        <w:rPr>
          <w:lang w:val="el" w:eastAsia="el"/>
        </w:rPr>
      </w:pPr>
      <w:r>
        <w:rPr>
          <w:lang w:val="el" w:eastAsia="el"/>
        </w:rPr>
        <w:t xml:space="preserve">6. </w:t>
      </w:r>
      <w:r>
        <w:rPr>
          <w:b/>
          <w:bCs/>
          <w:lang w:val="el" w:eastAsia="el"/>
        </w:rPr>
        <w:t>Αποδέκτες πίνακα Ζ’, Η΄, ΙΑ’ εκτός από τα υποθηκοφυλάκεια, ΙΒ’, ΙΓ’, ΙΣΤ’, ΙΖ’, ΙΗ’, ΚΒ’, ΚΓ’</w:t>
      </w:r>
    </w:p>
    <w:p>
      <w:pPr>
        <w:spacing w:before="240" w:after="240"/>
        <w:rPr>
          <w:lang w:val="el" w:eastAsia="el"/>
        </w:rPr>
      </w:pPr>
      <w:r>
        <w:rPr>
          <w:lang w:val="el" w:eastAsia="el"/>
        </w:rPr>
        <w:t xml:space="preserve">7. </w:t>
      </w:r>
      <w:r>
        <w:rPr>
          <w:b/>
          <w:bCs/>
          <w:lang w:val="el" w:eastAsia="el"/>
        </w:rPr>
        <w:t>Δ/νση Επικοινωνίας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Επιχειρησιακών Διαδικασιών-Τμήμα Β’</w:t>
      </w:r>
    </w:p>
    <w:p>
      <w:pPr>
        <w:spacing w:before="240" w:after="240"/>
        <w:rPr>
          <w:lang w:val="el" w:eastAsia="el"/>
        </w:rPr>
      </w:pPr>
      <w:r>
        <w:rPr>
          <w:lang w:val="el" w:eastAsia="el"/>
        </w:rPr>
        <w:t xml:space="preserve">8. </w:t>
      </w:r>
      <w:r>
        <w:rPr>
          <w:b/>
          <w:bCs/>
          <w:lang w:val="el" w:eastAsia="el"/>
        </w:rPr>
        <w:t>Διεύθυνση Στρατηγικής Τεχνολογιών Πληροφορικής -Τμήμα Δ’</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