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Τροποποίηση της υπό στοιχεία Α. 1123/2023 απόφασης Διοικητή ΑΑΔΕ με θέμα: «Καθορισμός βιβλίων καταχώρισης εισπρακτέων και επιστρεπτέων ποσών κατά τις διατάξεις της παρ. 1 του άρθρου 30 και της παρ. 5 του άρθρου 42 του ν. 4987/2022 (Α΄206)» (Β΄5037).</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30 και της παρ. 5 του άρθρου 42 του Κώδικα Φορολογικής Διαδικασίας (ν. 4987/2022, Α΄206) εφεξής ΚΦΔ, β) της παρ. 1 του άρθρου 4 και της παρ. 25 του άρθρου 70 του ΚΦΔ.</w:t>
      </w:r>
    </w:p>
    <w:p>
      <w:pPr>
        <w:pStyle w:val="PreambelText"/>
        <w:spacing w:before="240" w:after="240"/>
        <w:rPr>
          <w:lang w:val="el" w:eastAsia="el"/>
        </w:rPr>
      </w:pPr>
      <w:r>
        <w:rPr>
          <w:lang w:val="el" w:eastAsia="el"/>
        </w:rPr>
        <w:t xml:space="preserve">2. </w:t>
      </w:r>
      <w:r>
        <w:rPr>
          <w:b/>
          <w:bCs/>
          <w:lang w:val="el" w:eastAsia="el"/>
        </w:rPr>
        <w:t>Tην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3. </w:t>
      </w:r>
      <w:r>
        <w:rPr>
          <w:b/>
          <w:bCs/>
          <w:lang w:val="el" w:eastAsia="el"/>
        </w:rPr>
        <w:t>Tην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βελτίωσης και επίσπευσης των επιστροφών καθώς και την διαδικασία μηχανογραφικής υποστήριξης αυτοματοποιημένης έκδοσης και εκκαθάρισης ΑΦΕΚ.</w:t>
      </w:r>
    </w:p>
    <w:p>
      <w:pPr>
        <w:pStyle w:val="PreambelText"/>
        <w:spacing w:before="240" w:after="240"/>
        <w:rPr>
          <w:lang w:val="el" w:eastAsia="el"/>
        </w:rPr>
      </w:pPr>
      <w:r>
        <w:rPr>
          <w:lang w:val="el" w:eastAsia="el"/>
        </w:rPr>
        <w:t xml:space="preserve">5. </w:t>
      </w:r>
      <w:r>
        <w:rPr>
          <w:b/>
          <w:bCs/>
          <w:lang w:val="el" w:eastAsia="el"/>
        </w:rPr>
        <w:t>Το γεγονός ότι με την παρούσα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H υπό στοιχεία Α. 1123/2023 (Β΄5037) απόφαση Διοικητή ΑΑΔΕ «Καθορισμός βιβλίων καταχώρισης εισπρακτέων και επιστρεπτέων ποσών κατά τις διατάξεις της παρ. 1 του άρθρου 30 και της παρ. 5 του άρθρου 42 του ν.4987/2022 (Α΄206)» τροποποιείται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παρ. 7 και 8 του άρθρου 3 αντικαθίστανται ως εξής:</w:t>
      </w:r>
    </w:p>
    <w:p>
      <w:pPr>
        <w:spacing w:before="240" w:after="240"/>
        <w:rPr>
          <w:lang w:val="el" w:eastAsia="el"/>
        </w:rPr>
      </w:pPr>
      <w:r>
        <w:rPr>
          <w:b/>
          <w:bCs/>
          <w:lang w:val="el" w:eastAsia="el"/>
        </w:rPr>
        <w:t>«7. Τα φύλλα έκπτωσης, ατομικά ή συγκεντρωτικά, ανεξαρτήτως εάν εκδίδονται ή/και εκκαθαρίζονται κεντρικά ή από άλλη Υπηρεσία της ΑΑΔΕ, εξοφλούνται κεντρικά από τη ΓΔΗΛΕΔ.</w:t>
      </w:r>
    </w:p>
    <w:p>
      <w:pPr>
        <w:spacing w:before="240" w:after="240"/>
        <w:rPr>
          <w:lang w:val="el" w:eastAsia="el"/>
        </w:rPr>
      </w:pPr>
      <w:r>
        <w:rPr>
          <w:lang w:val="el" w:eastAsia="el"/>
        </w:rPr>
        <w:t xml:space="preserve">8. </w:t>
      </w:r>
      <w:r>
        <w:rPr>
          <w:b/>
          <w:bCs/>
          <w:lang w:val="el" w:eastAsia="el"/>
        </w:rPr>
        <w:t>Οι λοιπές Υπηρεσίες της ΑΑΔΕ (όπως Δ.Ο.Υ., ΚΕΜΕΕΠ, ΚΕΦΟΜΕΠ, ΚΕΒΕΙΣ) εξοφλούν φύλλα έκπτωσης ατομικά ή συγκεντρωτικά όταν:</w:t>
      </w:r>
    </w:p>
    <w:p>
      <w:pPr>
        <w:spacing w:before="240" w:after="240"/>
        <w:rPr>
          <w:lang w:val="el" w:eastAsia="el"/>
        </w:rPr>
      </w:pPr>
      <w:r>
        <w:rPr>
          <w:b/>
          <w:bCs/>
          <w:lang w:val="el" w:eastAsia="el"/>
        </w:rPr>
        <w:t>α) η ημερομηνία εκκαθάρισης του ΑΦΕΚ είναι προγενέστερη της ημερομηνίας που διενεργήθηκε ο τελευταίος κεντρικός συμψηφισμός ή β) έχουν παρέλθει δεκαπέντε (15) μέρες από την ημερομηνία εκκαθάρισής του ή</w:t>
      </w:r>
    </w:p>
    <w:p>
      <w:pPr>
        <w:spacing w:before="240" w:after="240"/>
        <w:rPr>
          <w:lang w:val="el" w:eastAsia="el"/>
        </w:rPr>
      </w:pPr>
      <w:r>
        <w:rPr>
          <w:b/>
          <w:bCs/>
          <w:lang w:val="el" w:eastAsia="el"/>
        </w:rPr>
        <w:t>γ) η εξόφληση αυτών δεν είναι δυνατό να πραγματοποιηθεί κεντρικά από τη ΓΔΗΛΕΔ.»</w:t>
      </w:r>
    </w:p>
    <w:p>
      <w:pPr>
        <w:pStyle w:val="MainText"/>
        <w:spacing w:before="120" w:after="0"/>
        <w:rPr>
          <w:lang w:val="el" w:eastAsia="el"/>
        </w:rPr>
      </w:pPr>
      <w:r>
        <w:rPr>
          <w:b/>
          <w:bCs/>
          <w:lang w:val="el" w:eastAsia="el"/>
        </w:rPr>
        <w:t>2.</w:t>
      </w:r>
      <w:r>
        <w:rPr>
          <w:lang w:val="el" w:eastAsia="el"/>
        </w:rPr>
        <w:t xml:space="preserve"> </w:t>
      </w:r>
      <w:r>
        <w:rPr>
          <w:b/>
          <w:bCs/>
          <w:lang w:val="el" w:eastAsia="el"/>
        </w:rPr>
        <w:t>Οι παρ. 11 και 12 του άρθρου 3 αντικαθίστανται ως εξής:</w:t>
      </w:r>
    </w:p>
    <w:p>
      <w:pPr>
        <w:spacing w:before="240" w:after="240"/>
        <w:rPr>
          <w:lang w:val="el" w:eastAsia="el"/>
        </w:rPr>
      </w:pPr>
      <w:r>
        <w:rPr>
          <w:b/>
          <w:bCs/>
          <w:lang w:val="el" w:eastAsia="el"/>
        </w:rPr>
        <w:t>«11. Τα Α.Φ.ΕΚ. που εκδίδονται από την εκάστοτε αρμόδια Υπηρεσία (όπως Δ.Ο.Υ., ΚΕΜΕΕΠ, ΚΕΦΟΜΕΠ, ΕΛΚΕ) για τα οποία έχει διενεργηθεί κεντρική εκκαθάριση της δήλωσης από τη ΓΔΗΛΕΔ, και αφορούν σε αρχικές και τροποποιητικές δηλώσεις, φέρουν: α) στη θέση των υπογραφών της σύνταξης την υπογραφή του Διοικητή της ΑΑΔΕ με μηχανογραφική σήμανση και τη σφραγίδα της ΑΑΔΕ, β) στη θέση υπογραφών της εκκαθάρισης το ονοματεπώνυμο του κατά περίπτωση Προϊσταμένου της αρμόδιας Υπηρεσίας (όπως Δ.Ο.Υ., ΚΕΒΕΙΣ, ΚΕΜΕΕΠ, ΚΕΦΟΜΕΠ) εφόσον η εκκαθάριση δεν διενεργείται κεντρικά, διαφορετικά την υπογραφή του Διοικητή της ΑΑΔΕ με μηχανογραφική σήμανση και τη σφραγίδα της ΑΑΔΕ και γ) στη θέση της υπογραφής ως προς την εξόφληση το ονοματεπώνυμο του αρμόδιου για την εξόφληση Προϊσταμένου Τμήματος Εσόδων/Υποδιευθυντή Εσόδων, εφόσον η εξόφληση δεν διενεργείται κεντρικά, διαφορετικά την υπογραφή του Διοικητή της ΑΑΔΕ με μηχανογραφική σήμανση και τη σφραγίδα της ΑΑΔΕ.</w:t>
      </w:r>
    </w:p>
    <w:p>
      <w:pPr>
        <w:spacing w:before="240" w:after="240"/>
        <w:rPr>
          <w:lang w:val="el" w:eastAsia="el"/>
        </w:rPr>
      </w:pPr>
      <w:r>
        <w:rPr>
          <w:lang w:val="el" w:eastAsia="el"/>
        </w:rPr>
        <w:t xml:space="preserve">12. </w:t>
      </w:r>
      <w:r>
        <w:rPr>
          <w:b/>
          <w:bCs/>
          <w:lang w:val="el" w:eastAsia="el"/>
        </w:rPr>
        <w:t>Τα ΑΦΕΚ που εκδίδονται από την εκάστοτε αρμόδια Υπηρεσία (όπως Δ.Ο.Υ, ΚΕΜΕΕΠ, ΚΕΦΟΜΕΠ, ΕΛΚΕ.), πλην των περιπτώσεων της παρ. 11, φέρουν: α) στη θέση της υπογραφής της σύνταξης τουλάχιστον το ονοματεπώνυμο του Προϊσταμένου της αρμόδιας Υπηρεσίας, ενώ η έκδοση αυτών διενεργείται με τη χρήση προσωπικών κωδικών πρόσβασης στη σχετική εφαρμογή των αρμόδιων για την υπογραφή οργάνων β) στη θέση των υπογραφών της εκκαθάρισης το ονοματεπώνυμο του κατά περίπτωση Προϊσταμένου της αρμόδιας Υπηρεσίας (όπως ΚΕΒΕΙΣ, Δ.Ο.Υ, ΚΕΜΕΕΠ, ΚΕΦΟΜΕΠ) εφόσον η εκκαθάριση δεν διενεργείται κεντρικά, διαφορετικά την υπογραφή του Διοικητή της ΑΑΔΕ με μηχανογραφική σήμανση και τη σφραγίδα της ΑΑΔΕ και γ) στη θέση της υπογραφής ως προς την εξόφληση το ονοματεπώνυμο του αρμόδιου για την εξόφληση Προϊσταμένου Τμήματος Εσόδων/Υποδιευθυντή Εσόδων, εφόσον η εξόφληση δεν διενεργείται κεντρικά, διαφορετικά την υπογραφή του Διοικητή της ΑΑΔΕ με μηχανογραφική σήμανση και τη σφραγίδα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2. </w:t>
      </w:r>
      <w:r>
        <w:rPr>
          <w:b/>
          <w:bCs/>
          <w:lang w:val="el" w:eastAsia="el"/>
        </w:rPr>
        <w:t>Αποδέκτες Πίνακα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Αποδέκτες Πίνακα Α (πλην των αποδεκτών προς ενέργεια), Β, Δ, Ε, ΣΤ, Ζ, Η, Θ (εκτός Εθνικού Τυπογραφείου), Ι, ΙΒ, ΙΔ, ΙΕ, ΙΣΤ</w:t>
      </w:r>
    </w:p>
    <w:p>
      <w:pPr>
        <w:spacing w:before="240" w:after="240"/>
        <w:rPr>
          <w:lang w:val="el" w:eastAsia="el"/>
        </w:rPr>
      </w:pPr>
      <w:r>
        <w:rPr>
          <w:lang w:val="el" w:eastAsia="el"/>
        </w:rPr>
        <w:t xml:space="preserve">4. </w:t>
      </w:r>
      <w:r>
        <w:rPr>
          <w:b/>
          <w:bCs/>
          <w:lang w:val="el" w:eastAsia="el"/>
        </w:rPr>
        <w:t>Γραφείο Επικοινωνίας και Ενημέρωσης</w:t>
      </w:r>
    </w:p>
    <w:p>
      <w:pPr>
        <w:spacing w:before="240" w:after="240"/>
        <w:rPr>
          <w:lang w:val="el" w:eastAsia="el"/>
        </w:rPr>
      </w:pPr>
      <w:r>
        <w:rPr>
          <w:lang w:val="el" w:eastAsia="el"/>
        </w:rPr>
        <w:t xml:space="preserve">5. </w:t>
      </w:r>
      <w:r>
        <w:rPr>
          <w:b/>
          <w:bCs/>
          <w:lang w:val="el" w:eastAsia="el"/>
        </w:rPr>
        <w:t>Γενική Γραμματεία Φορολογικής Πολιτικής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Τμήματα Α - Γ, Γραμματεία</w:t>
      </w:r>
    </w:p>
    <w:p>
      <w:pPr>
        <w:spacing w:before="240" w:after="240"/>
        <w:rPr>
          <w:lang w:val="el" w:eastAsia="el"/>
        </w:rPr>
      </w:pPr>
      <w:r>
        <w:rPr>
          <w:lang w:val="el" w:eastAsia="el"/>
        </w:rPr>
        <w:t xml:space="preserve">5.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6. </w:t>
      </w:r>
      <w:r>
        <w:rPr>
          <w:b/>
          <w:bCs/>
          <w:lang w:val="el" w:eastAsia="el"/>
        </w:rPr>
        <w:t>Διεύθυνση Επικοινωνίας</w:t>
      </w:r>
    </w:p>
    <w:p>
      <w:pPr>
        <w:spacing w:before="240" w:after="240"/>
        <w:rPr>
          <w:lang w:val="el" w:eastAsia="el"/>
        </w:rPr>
      </w:pPr>
      <w:r>
        <w:rPr>
          <w:lang w:val="el" w:eastAsia="el"/>
        </w:rPr>
        <w:t xml:space="preserve">7. </w:t>
      </w:r>
      <w:r>
        <w:rPr>
          <w:b/>
          <w:bCs/>
          <w:lang w:val="el" w:eastAsia="el"/>
        </w:rPr>
        <w:t>Διεύθυνση Εφαρμογής Άμεσης Φορολογίας</w:t>
      </w:r>
    </w:p>
    <w:p>
      <w:pPr>
        <w:spacing w:before="240" w:after="240"/>
        <w:rPr>
          <w:lang w:val="el" w:eastAsia="el"/>
        </w:rPr>
      </w:pPr>
      <w:r>
        <w:rPr>
          <w:lang w:val="el" w:eastAsia="el"/>
        </w:rPr>
        <w:t xml:space="preserve">8. </w:t>
      </w:r>
      <w:r>
        <w:rPr>
          <w:b/>
          <w:bCs/>
          <w:lang w:val="el" w:eastAsia="el"/>
        </w:rPr>
        <w:t>Διεύθυνση Εφαρμογής Έμμεσης Φορολογίας</w:t>
      </w:r>
    </w:p>
    <w:p>
      <w:pPr>
        <w:spacing w:before="240" w:after="240"/>
        <w:rPr>
          <w:lang w:val="el" w:eastAsia="el"/>
        </w:rPr>
      </w:pPr>
      <w:r>
        <w:rPr>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lang w:val="el" w:eastAsia="el"/>
        </w:rPr>
        <w:t xml:space="preserve">10.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