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 ΑΝΑΡΤΗΤΕΑ ΣΤΟ ΔΙΑΔΙΚ</w:t>
      </w:r>
    </w:p>
    <w:p>
      <w:pPr>
        <w:pStyle w:val="Title"/>
        <w:spacing w:before="120" w:after="360"/>
        <w:rPr>
          <w:lang w:val="el" w:eastAsia="el"/>
        </w:rPr>
      </w:pPr>
      <w:r>
        <w:rPr>
          <w:b/>
          <w:bCs/>
          <w:lang w:val="el" w:eastAsia="el"/>
        </w:rPr>
        <w:t>ΑΔΑ: ΨΘΖ346ΜΠ3Ζ-ΧΚ ΦΕΚ: Β’ 7341/27.12.2023</w:t>
      </w:r>
    </w:p>
    <w:p>
      <w:pPr>
        <w:pStyle w:val="Title"/>
        <w:spacing w:before="120" w:after="360"/>
        <w:rPr>
          <w:lang w:val="el" w:eastAsia="el"/>
        </w:rPr>
      </w:pPr>
      <w:r>
        <w:rPr>
          <w:lang w:val="el" w:eastAsia="el"/>
        </w:rPr>
        <w:t xml:space="preserve">3. </w:t>
      </w:r>
      <w:r>
        <w:rPr>
          <w:b/>
          <w:bCs/>
          <w:lang w:val="el" w:eastAsia="el"/>
        </w:rPr>
        <w:t>α)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Title"/>
        <w:spacing w:before="120" w:after="360"/>
        <w:rPr>
          <w:lang w:val="el" w:eastAsia="el"/>
        </w:rPr>
      </w:pPr>
      <w:r>
        <w:rPr>
          <w:b/>
          <w:bCs/>
          <w:lang w:val="el" w:eastAsia="el"/>
        </w:rPr>
        <w:t>β)Το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Title"/>
        <w:spacing w:before="120" w:after="360"/>
        <w:rPr>
          <w:lang w:val="el" w:eastAsia="el"/>
        </w:rPr>
      </w:pPr>
      <w:r>
        <w:rPr>
          <w:lang w:val="el" w:eastAsia="el"/>
        </w:rPr>
        <w:t xml:space="preserve">4. </w:t>
      </w:r>
      <w:r>
        <w:rPr>
          <w:b/>
          <w:bCs/>
          <w:lang w:val="el" w:eastAsia="el"/>
        </w:rPr>
        <w:t>Το π.δ. 79/2023 «Διορισμός Υπουργών, Αναπληρωτών Υπουργών και Υφυπουργών» (Α΄131).</w:t>
      </w:r>
    </w:p>
    <w:p>
      <w:pPr>
        <w:pStyle w:val="Title"/>
        <w:spacing w:before="120" w:after="360"/>
        <w:rPr>
          <w:lang w:val="el" w:eastAsia="el"/>
        </w:rPr>
      </w:pPr>
      <w:r>
        <w:rPr>
          <w:lang w:val="el" w:eastAsia="el"/>
        </w:rPr>
        <w:t xml:space="preserve">5. </w:t>
      </w:r>
      <w:r>
        <w:rPr>
          <w:b/>
          <w:bCs/>
          <w:lang w:val="el" w:eastAsia="el"/>
        </w:rPr>
        <w:t>Την υπό στοιχεία 102916 ΕΞ 2023/10.07.2023 κοινή απόφαση του Πρωθυπουργού και του Υπουργού Οικονομικών «Ανάθεση αρμοδιοτήτων στον Υφυπουργό Οικονομικών, Θεοχάρη Θεοχάρη» (Β΄4441).</w:t>
      </w:r>
    </w:p>
    <w:p>
      <w:pPr>
        <w:pStyle w:val="Title"/>
        <w:spacing w:before="120" w:after="360"/>
        <w:rPr>
          <w:lang w:val="el" w:eastAsia="el"/>
        </w:rPr>
      </w:pPr>
      <w:r>
        <w:rPr>
          <w:lang w:val="el" w:eastAsia="el"/>
        </w:rPr>
        <w:t xml:space="preserve">6. </w:t>
      </w:r>
      <w:r>
        <w:rPr>
          <w:b/>
          <w:bCs/>
          <w:lang w:val="el" w:eastAsia="el"/>
        </w:rPr>
        <w:t>Το π.δ. 142/2017 «Οργανισμός Υπουργείου Οικονομικών» (Α’ 181).</w:t>
      </w:r>
    </w:p>
    <w:p>
      <w:pPr>
        <w:pStyle w:val="Title"/>
        <w:spacing w:before="120" w:after="360"/>
        <w:rPr>
          <w:lang w:val="el" w:eastAsia="el"/>
        </w:rPr>
      </w:pPr>
      <w:r>
        <w:rPr>
          <w:lang w:val="el" w:eastAsia="el"/>
        </w:rPr>
        <w:t xml:space="preserve">7. </w:t>
      </w:r>
      <w:r>
        <w:rPr>
          <w:b/>
          <w:bCs/>
          <w:lang w:val="el" w:eastAsia="el"/>
        </w:rPr>
        <w:t>Το Κεφάλαιο Α΄ «Σύσταση Ανεξάρτητης Αρχής Δημοσίων Εσόδων» του ν.4389/2016 (Α΄ 94) και ιδίως το άρθρο 7, την παρ. 1 του άρθρου 14 και το άρθρο 41 αυτού.</w:t>
      </w:r>
    </w:p>
    <w:p>
      <w:pPr>
        <w:pStyle w:val="Title"/>
        <w:spacing w:before="120" w:after="360"/>
        <w:rPr>
          <w:lang w:val="el" w:eastAsia="el"/>
        </w:rPr>
      </w:pPr>
      <w:r>
        <w:rPr>
          <w:lang w:val="el" w:eastAsia="el"/>
        </w:rPr>
        <w:t xml:space="preserve">8. </w:t>
      </w:r>
      <w:r>
        <w:rPr>
          <w:b/>
          <w:bCs/>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(Β΄4738).</w:t>
      </w:r>
    </w:p>
    <w:p>
      <w:pPr>
        <w:pStyle w:val="Title"/>
        <w:spacing w:before="120" w:after="360"/>
        <w:rPr>
          <w:lang w:val="el" w:eastAsia="el"/>
        </w:rPr>
      </w:pPr>
      <w:r>
        <w:rPr>
          <w:lang w:val="el" w:eastAsia="el"/>
        </w:rPr>
        <w:t xml:space="preserve">9.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αρ.39/3/30.11.2017 απόφαση του Συμβουλίου Διοίκησης της ΑΑΔΕ «Ανανέωση της θητείας του Διοικητή της Ανεξάρτητης Αρχής Δημοσίων Εσόδων»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Title"/>
        <w:spacing w:before="120" w:after="360"/>
        <w:rPr>
          <w:lang w:val="el" w:eastAsia="el"/>
        </w:rPr>
      </w:pPr>
      <w:r>
        <w:rPr>
          <w:lang w:val="el" w:eastAsia="el"/>
        </w:rPr>
        <w:t xml:space="preserve">10. </w:t>
      </w:r>
      <w:r>
        <w:rPr>
          <w:b/>
          <w:bCs/>
          <w:lang w:val="el" w:eastAsia="el"/>
        </w:rPr>
        <w:t>Το υπ. αριθ. 46676/18.09.2017 εμπιστευτικό έγγραφο του Υπουργείου Εξωτερικών κατά το οποίο η συμπερίληψη γίνεται αποκλειστικά για σκοπούς εφαρμογής του ν.4172/2013 και δεν θίγει την επίσημη θέση της Ελληνικής Δημοκρατίας για το νομικό καθεστώς του Κοσσόβου.</w:t>
      </w:r>
    </w:p>
    <w:p>
      <w:pPr>
        <w:pStyle w:val="Title"/>
        <w:spacing w:before="120" w:after="360"/>
        <w:rPr>
          <w:lang w:val="el" w:eastAsia="el"/>
        </w:rPr>
      </w:pPr>
      <w:r>
        <w:rPr>
          <w:lang w:val="el" w:eastAsia="el"/>
        </w:rPr>
        <w:t xml:space="preserve">11. </w:t>
      </w:r>
      <w:r>
        <w:rPr>
          <w:b/>
          <w:bCs/>
          <w:lang w:val="el" w:eastAsia="el"/>
        </w:rPr>
        <w:t>Την από 30/08/2023 εισήγηση του Διοικητή της ΑΑΔΕ στον Υπουργό Εθνικής Οικονομίας και Οικονομικών δυνάμει της περ. γ’ της παρ. 2 του άρθρου 14 του ν.4389/2016 (Α΄ 94).</w:t>
      </w:r>
    </w:p>
    <w:p>
      <w:pPr>
        <w:pStyle w:val="Title"/>
        <w:spacing w:before="120" w:after="360"/>
        <w:rPr>
          <w:lang w:val="el" w:eastAsia="el"/>
        </w:rPr>
      </w:pPr>
      <w:r>
        <w:rPr>
          <w:lang w:val="el" w:eastAsia="el"/>
        </w:rPr>
        <w:t xml:space="preserve">12.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 xml:space="preserve">Καθορίζουμε ως κράτη που έχουν προνομιακό φορολογικό καθεστώς, σύμφωνα με την περ. β’ της παρ. 6 του άρθρου 65 του ν.4172/2013, τα κράτη εκείνα στα οποία το νομικό πρόσωπο ή η νομική οντότητα υπόκειται σε φόρο επί των κερδών ή των εισοδημάτων ή του κεφαλαίου του οποίου ο συντελεστής είναι ίσος ή κατώτερος από το εξήντα τοις εκατό (60%) </w:t>
      </w:r>
    </w:p>
    <w:p>
      <w:pPr>
        <w:spacing w:before="240" w:after="240"/>
        <w:rPr>
          <w:lang w:val="el" w:eastAsia="el"/>
        </w:rPr>
      </w:pPr>
      <w:r>
        <w:rPr>
          <w:b/>
          <w:bCs/>
          <w:lang w:val="el" w:eastAsia="el"/>
        </w:rPr>
        <w:t>του συντελεστή φορολογίας νομικών προσώπων καινομικών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Κώδικα Φορολογίας Εισοδήματος στην Ελλάδα.</w:t>
      </w:r>
    </w:p>
    <w:p>
      <w:pPr>
        <w:spacing w:before="240" w:after="240"/>
        <w:rPr>
          <w:lang w:val="el" w:eastAsia="el"/>
        </w:rPr>
      </w:pPr>
      <w:r>
        <w:rPr>
          <w:b/>
          <w:bCs/>
          <w:lang w:val="el" w:eastAsia="el"/>
        </w:rPr>
        <w:t>Με βάση το πιο πάνω κριτήριο τα κράτη αυτά, για το φορολογικό έτος 2022, είναι τα ακόλουθα: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4234"/>
        <w:gridCol w:w="36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Ευστάθιος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 Eustatius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Albania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Ανατολικό Τιμόρ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Timor-Leste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Anguilla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Ανδόρρα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Andorra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Vanuatu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Bermuda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Βόρεια Μακεδονία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North Macedonia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Βοσνία -Ερζεγοβίνη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Bosnia and Herzegovina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Βουλγαρία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Bulgaria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British Virgin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Gibraltar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Γκέρνσεϋ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Guernsey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United Arab Emirates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Ιρλανδία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Ireland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Qatar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Κιργιστάν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Kyrgyzstan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Κόσσοβο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Kosovo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Cyprus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Liechtenstein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Μακάο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Macau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Μαλδίβες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Maldives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Μαυροβούνιο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Montenegro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Μολδαβία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Republic of Moldova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Μογγολία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Mongolia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Monaco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Barbados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Bahamas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Bahrain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Μπελίζ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Belize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Μποναίρ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Bonaire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Νήσοι Κέϋμαν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Cayman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Νήσοι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Marshall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Νήσοι Τερκς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Turks and Caicos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Isle of Man</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2677"/>
        <w:gridCol w:w="21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Hungary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Paraguay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Saba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Saudi Arabia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Τζέρσεϋ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Jersey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Τοκελάου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Tokelau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Τουρκμενιστάν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Turkmenistan</w:t>
            </w:r>
          </w:p>
        </w:tc>
      </w:tr>
    </w:tbl>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5. </w:t>
      </w:r>
      <w:r>
        <w:rPr>
          <w:b/>
          <w:bCs/>
          <w:lang w:val="el" w:eastAsia="el"/>
        </w:rPr>
        <w:t>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2. </w:t>
      </w:r>
      <w:r>
        <w:rPr>
          <w:b/>
          <w:bCs/>
          <w:lang w:val="el" w:eastAsia="el"/>
        </w:rPr>
        <w:t>Υπουργείο Ανάπτυξης, Γενική Γραμματεία Εμπορίου, Γενική Δ/νση Αγοράς &amp; Προστασίας Καταναλωτή, Δ/νση Εταιρειών, Πλ. Κάνιγγος, Τ.Κ. 101 81, Αθήνα</w:t>
      </w:r>
    </w:p>
    <w:p>
      <w:pPr>
        <w:spacing w:before="240" w:after="240"/>
        <w:rPr>
          <w:lang w:val="el" w:eastAsia="el"/>
        </w:rPr>
      </w:pPr>
      <w:r>
        <w:rPr>
          <w:lang w:val="el" w:eastAsia="el"/>
        </w:rPr>
        <w:t xml:space="preserve">3. </w:t>
      </w:r>
      <w:r>
        <w:rPr>
          <w:b/>
          <w:bCs/>
          <w:lang w:val="el" w:eastAsia="el"/>
        </w:rPr>
        <w:t>Επιτροπή Λογιστικής Τυποποίησης και Ελέγχων (ΕΛΤΕ), Βουλής 7 - 105 62 ΑΘΗΝΑ</w:t>
      </w:r>
    </w:p>
    <w:p>
      <w:pPr>
        <w:spacing w:before="240" w:after="240"/>
        <w:rPr>
          <w:lang w:val="el" w:eastAsia="el"/>
        </w:rPr>
      </w:pPr>
      <w:r>
        <w:rPr>
          <w:lang w:val="el" w:eastAsia="el"/>
        </w:rPr>
        <w:t xml:space="preserve">4. </w:t>
      </w:r>
      <w:r>
        <w:rPr>
          <w:b/>
          <w:bCs/>
          <w:lang w:val="el" w:eastAsia="el"/>
        </w:rPr>
        <w:t>ΠΕΡΙΟΔΙΚΟ «ΦΟΡΟΛΟΓΙΚΗ ΕΠΙΘΕΩΡΗΣΗ»</w:t>
      </w:r>
    </w:p>
    <w:p>
      <w:pPr>
        <w:spacing w:before="240" w:after="240"/>
        <w:rPr>
          <w:lang w:val="el" w:eastAsia="el"/>
        </w:rPr>
      </w:pPr>
      <w:r>
        <w:rPr>
          <w:lang w:val="el" w:eastAsia="el"/>
        </w:rPr>
        <w:t xml:space="preserve">5. </w:t>
      </w:r>
      <w:r>
        <w:rPr>
          <w:b/>
          <w:bCs/>
          <w:lang w:val="el" w:eastAsia="el"/>
        </w:rPr>
        <w:t>Γραφείο κ. Υπουργού</w:t>
      </w:r>
    </w:p>
    <w:p>
      <w:pPr>
        <w:spacing w:before="240" w:after="240"/>
        <w:rPr>
          <w:lang w:val="el" w:eastAsia="el"/>
        </w:rPr>
      </w:pPr>
      <w:r>
        <w:rPr>
          <w:lang w:val="el" w:eastAsia="el"/>
        </w:rPr>
        <w:t xml:space="preserve">6. </w:t>
      </w:r>
      <w:r>
        <w:rPr>
          <w:b/>
          <w:bCs/>
          <w:lang w:val="el" w:eastAsia="el"/>
        </w:rPr>
        <w:t>Γραφείο κ. Υφυπουργού</w:t>
      </w:r>
    </w:p>
    <w:p>
      <w:pPr>
        <w:spacing w:before="240" w:after="240"/>
        <w:rPr>
          <w:lang w:val="el" w:eastAsia="el"/>
        </w:rPr>
      </w:pPr>
      <w:r>
        <w:rPr>
          <w:lang w:val="el" w:eastAsia="el"/>
        </w:rPr>
        <w:t xml:space="preserve">7.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8. </w:t>
      </w:r>
      <w:r>
        <w:rPr>
          <w:b/>
          <w:bCs/>
          <w:lang w:val="el" w:eastAsia="el"/>
        </w:rPr>
        <w:t>Δ/νση Φορολογικής Πολιτικής</w:t>
      </w:r>
    </w:p>
    <w:p>
      <w:pPr>
        <w:spacing w:before="240" w:after="240"/>
        <w:rPr>
          <w:lang w:val="el" w:eastAsia="el"/>
        </w:rPr>
      </w:pPr>
      <w:r>
        <w:rPr>
          <w:lang w:val="el" w:eastAsia="el"/>
        </w:rPr>
        <w:t xml:space="preserve">9. </w:t>
      </w:r>
      <w:r>
        <w:rPr>
          <w:b/>
          <w:bCs/>
          <w:lang w:val="el" w:eastAsia="el"/>
        </w:rPr>
        <w:t>ΔΤΔ – Εγκεκριμένοι Οικονομικοί Φορείς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Γενικών Δ/ντών</w:t>
      </w:r>
    </w:p>
    <w:p>
      <w:pPr>
        <w:spacing w:before="240" w:after="240"/>
        <w:rPr>
          <w:lang w:val="el" w:eastAsia="el"/>
        </w:rPr>
      </w:pPr>
      <w:r>
        <w:rPr>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4. </w:t>
      </w:r>
      <w:r>
        <w:rPr>
          <w:b/>
          <w:bCs/>
          <w:lang w:val="el" w:eastAsia="el"/>
        </w:rPr>
        <w:t>Δ/νση Νομικής Υποστήριξης</w:t>
      </w:r>
    </w:p>
    <w:p>
      <w:pPr>
        <w:spacing w:before="240" w:after="240"/>
        <w:rPr>
          <w:lang w:val="el" w:eastAsia="el"/>
        </w:rPr>
      </w:pPr>
      <w:r>
        <w:rPr>
          <w:lang w:val="el" w:eastAsia="el"/>
        </w:rPr>
        <w:t xml:space="preserve">5. </w:t>
      </w:r>
      <w:r>
        <w:rPr>
          <w:b/>
          <w:bCs/>
          <w:lang w:val="el" w:eastAsia="el"/>
        </w:rPr>
        <w:t>Δ/νση Εφαρμογής Άμεσης Φορολογίας</w:t>
      </w:r>
    </w:p>
    <w:p>
      <w:pPr>
        <w:spacing w:before="240" w:after="240"/>
        <w:rPr>
          <w:lang w:val="el" w:eastAsia="el"/>
        </w:rPr>
      </w:pPr>
      <w:r>
        <w:rPr>
          <w:lang w:val="el" w:eastAsia="el"/>
        </w:rPr>
        <w:t xml:space="preserve">6. </w:t>
      </w:r>
      <w:r>
        <w:rPr>
          <w:b/>
          <w:bCs/>
          <w:lang w:val="el" w:eastAsia="el"/>
        </w:rPr>
        <w:t>Δ/νση Διεθνών Φορολογικών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