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E΄</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9ΜΔΒ46ΜΠ3Ζ-ΦΥΝ</w:t>
      </w:r>
    </w:p>
    <w:p>
      <w:pPr>
        <w:spacing w:before="240" w:after="240"/>
        <w:rPr>
          <w:lang w:val="el" w:eastAsia="el"/>
        </w:rPr>
      </w:pPr>
      <w:r>
        <w:rPr>
          <w:b/>
          <w:bCs/>
          <w:lang w:val="el" w:eastAsia="el"/>
        </w:rPr>
        <w:t>Αριθ. ΦΕΚ: Β΄7257/21-12-2023</w:t>
      </w:r>
    </w:p>
    <w:p>
      <w:pPr>
        <w:spacing w:before="240" w:after="240"/>
        <w:rPr>
          <w:lang w:val="el" w:eastAsia="el"/>
        </w:rPr>
      </w:pPr>
      <w:r>
        <w:rPr>
          <w:b/>
          <w:bCs/>
          <w:lang w:val="el" w:eastAsia="el"/>
        </w:rPr>
        <w:t>Αθήνα, 20 Δεκεμβρίου 2023</w:t>
      </w:r>
    </w:p>
    <w:p>
      <w:pPr>
        <w:spacing w:before="240" w:after="240"/>
        <w:rPr>
          <w:lang w:val="el" w:eastAsia="el"/>
        </w:rPr>
      </w:pPr>
      <w:r>
        <w:rPr>
          <w:b/>
          <w:bCs/>
          <w:lang w:val="el" w:eastAsia="el"/>
        </w:rPr>
        <w:t>Α.1206</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Καρ. Σερβίας 10 101 84 Αθήνα 2103635963, 2103605159, 2103630573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1189/30.11.2023 (Β΄6721) απόφασης του Υφυπουργού Εθνικής Οικονομίας και Οικονομικών περί παράτασης καταβολής και αναστολής είσπραξης βεβαιωμένων οφειλών για τα φυσικά και νομικά πρόσωπα που επλήγησαν από τις πυρκαγιές που εκδηλώθηκαν τον Αύγουστο του 2023 στον Δήμο Ασπροπύργου της Περιφερειακής Ενότητας Δυτικής Αττικής της Περιφέρειας Αττικής»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4987/2022, Α΄ 206).</w:t>
      </w:r>
    </w:p>
    <w:p>
      <w:pPr>
        <w:spacing w:before="240" w:after="240"/>
        <w:rPr>
          <w:lang w:val="el" w:eastAsia="el"/>
        </w:rPr>
      </w:pPr>
      <w:r>
        <w:rPr>
          <w:u w:val="single"/>
          <w:lang w:val="el" w:eastAsia="el"/>
        </w:rPr>
        <w:t xml:space="preserve">5.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6.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7.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8.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9.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u w:val="single"/>
          <w:lang w:val="el" w:eastAsia="el"/>
        </w:rPr>
        <w:t>10.Την υπό στοιχεία Α4225/03.10.2023 (ΑΔΑ: ΨΘΞΥ46ΝΠΙΘ-3Τ7) απόφαση του Γενικού Γραμματέα Πολιτικής Προστασίας για την κήρυξη σε κατάσταση Έκτακτης Ανάγκης Πολιτικής Προστασίας του Δήμου Ασπροπύργου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11. </w:t>
      </w:r>
      <w:r>
        <w:rPr>
          <w:b/>
          <w:bCs/>
          <w:u w:val="single"/>
          <w:lang w:val="el" w:eastAsia="el"/>
        </w:rPr>
        <w:t>Την από 25.08.2023 Εισήγηση της Κυβερνητικής Επιτροπής Κρατικής Αρωγής του άρθρου 13 του ν. 4797/2021 (Α΄66) - ΠΥΣ 3/29.03.2021 (Α΄56).</w:t>
      </w:r>
    </w:p>
    <w:p>
      <w:pPr>
        <w:spacing w:before="240" w:after="240"/>
        <w:rPr>
          <w:lang w:val="el" w:eastAsia="el"/>
        </w:rPr>
      </w:pPr>
      <w:r>
        <w:rPr>
          <w:b/>
          <w:bCs/>
          <w:u w:val="single"/>
          <w:lang w:val="el" w:eastAsia="el"/>
        </w:rPr>
        <w:t>12.Την από 10.09.2023 Εισήγηση της Κυβερνητικής Επιτροπής Κρατικής Αρωγής του άρθρου 13 του ν. 4797/2021 (Α΄66) - ΠΥΣ 3/29.03.2021 (Α΄56).</w:t>
      </w:r>
    </w:p>
    <w:p>
      <w:pPr>
        <w:spacing w:before="240" w:after="240"/>
        <w:rPr>
          <w:lang w:val="el" w:eastAsia="el"/>
        </w:rPr>
      </w:pPr>
      <w:r>
        <w:rPr>
          <w:u w:val="single"/>
          <w:lang w:val="el" w:eastAsia="el"/>
        </w:rPr>
        <w:t xml:space="preserve">13. </w:t>
      </w:r>
      <w:r>
        <w:rPr>
          <w:b/>
          <w:bCs/>
          <w:u w:val="single"/>
          <w:lang w:val="el" w:eastAsia="el"/>
        </w:rPr>
        <w:t>Την υπό στοιχεία Α. 1189/30.11.2023 (Β΄6721) απόφαση του Υφυπουργού Εθνικής Οικονομίας και Οικονομικών και την ανάγκη τροποποίησης αυτής με σκοπό τη συνεχόμενη στήριξη των πληγέντων.</w:t>
      </w:r>
    </w:p>
    <w:p>
      <w:pPr>
        <w:spacing w:before="240" w:after="240"/>
        <w:rPr>
          <w:lang w:val="el" w:eastAsia="el"/>
        </w:rPr>
      </w:pPr>
      <w:r>
        <w:rPr>
          <w:u w:val="single"/>
          <w:lang w:val="el" w:eastAsia="el"/>
        </w:rPr>
        <w:t xml:space="preserve">14.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παρ. 1,2 και 3 του άρθρου μόνου της υπό στοιχεία Α. 1189/30.11.2023 (Β΄6721) απόφασης του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w:t>
      </w:r>
    </w:p>
    <w:p>
      <w:pPr>
        <w:spacing w:before="240" w:after="240"/>
        <w:rPr>
          <w:lang w:val="el" w:eastAsia="el"/>
        </w:rPr>
      </w:pPr>
      <w:r>
        <w:rPr>
          <w:u w:val="single"/>
          <w:lang w:val="el" w:eastAsia="el"/>
        </w:rPr>
        <w:t xml:space="preserve">1. </w:t>
      </w:r>
      <w:r>
        <w:rPr>
          <w:b/>
          <w:bCs/>
          <w:u w:val="single"/>
          <w:lang w:val="el" w:eastAsia="el"/>
        </w:rPr>
        <w:t>Παρατείνονται μέχρι και την 29.02.2024 οι προθεσμίες καταβολής των βεβαιωμένων στις Δ.Ο.Υ./Κ.Ε.ΜΕ.ΕΠ./Κ.Ε.ΦΟ.ΜΕ.Π./ΚΕ.Β.ΕΙΣ. οφειλών, οι οποίες λήγουν ή έληξαν από 22.08.2023 μέχρι και 29.02.2024, των φυσικών και νομικών προσώπων και οντοτήτων με κύρια κατοικία ή έδρα ή εγκατάσταση στον Δήμο Ασπροπύργου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2. </w:t>
      </w:r>
      <w:r>
        <w:rPr>
          <w:b/>
          <w:bCs/>
          <w:u w:val="single"/>
          <w:lang w:val="el" w:eastAsia="el"/>
        </w:rPr>
        <w:t>Για τα πρόσωπα της προηγούμενης παραγράφου οι δόσεις ρυθμίσεων/διευκολύνσεων τμηματικής καταβολής που λήγουν ή έληξαν από 22.08.2023 μέχρι και 19.02.2024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spacing w:before="240" w:after="240"/>
        <w:rPr>
          <w:lang w:val="el" w:eastAsia="el"/>
        </w:rPr>
      </w:pPr>
      <w:r>
        <w:rPr>
          <w:u w:val="single"/>
          <w:lang w:val="el" w:eastAsia="el"/>
        </w:rPr>
        <w:t xml:space="preserve">3. </w:t>
      </w:r>
      <w:r>
        <w:rPr>
          <w:b/>
          <w:bCs/>
          <w:u w:val="single"/>
          <w:lang w:val="el" w:eastAsia="el"/>
        </w:rPr>
        <w:t>Αναστέλλεται μέχρι και την 19.02.2024 η πληρωμή των βεβαιωμένων και ληξιπρόθεσμων την 22.08.2023 οφειλών των προαναφερθέντων προσώπων και οντοτήτων.»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Τυχόν καταβληθείσες προσαυξήσεις/τόκοι/επιβαρύνσεις εκπρόθεσμης καταβολής που επιβλήθηκαν στις οφειλές των φυσικών και νομικών προσώπων και οντοτήτων με κύρια κατοικία ή έδρα ή εγκατάσταση στον Δήμο Ασπροπύργου της Περιφερειακής Ενότητας Δυτικής Αττικής της Περιφέρειας Αττικής, από την 01.12.2023 μέχρι την ημερομηνία έναρξης ισχύος της παρούσας, επιστρέφονται ύστερα από σχετική αίτηση του φορολογούμενου στην αρμόδια υπηρεσία. Αντίστοιχα, ρυθμίσεις που τυχόν απωλέσθηκαν από την 01.12.2023 μέχρι την ημερομηνία έναρξης ισχύος της παρούσας για τα προαναφερόμενα πρόσωπα και οντότητες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άρθρου μόνου της υπό στοιχεία Α. 1189/30.11.2023 απόφασης του Υφυπουργού Εθνικής Οικονομίας και Οικονομικών.</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ΟΙΚΟΝΟΜΙΚΩN</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