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: 10678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2132122400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deef@aade.gr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 :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 : 680Α46ΜΠ3Ζ-ΘΚΦ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ΦΕΚ Β΄:7264/2023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21 Δεκεμβρίου 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Α.1207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:ΠΙΝΑΚΑ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 :ΠΙΝΑΚΑ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2024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ΕΘΝΙΚΗΣ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Τις διατάξεις της περ.1 της υποπαραγράφου Ε7 του άρθρου πρώτου του ν. 4093/2012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 (Α’222).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Τις διατάξεις του άρθρου 22 του ν.2367/1953 «Περί τίτλων κυριότητος, ταξινομήσεως, αδειών κυκλοφορίας και φορολογίας αυτοκινήτων» (Α’82), καθώς και τις διατάξεις του άρθρου 40 του ν. 2214/1994 «Αντικειμενικό Σύστημα Φορολογίας εισοδήματος και άλλες διατάξεις» (Α’75).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Τις διατάξεις της παρ.1 του άρθρου 20 του ν.2948/2001 «Κυκλοφορία τραπεζογραμματίων και κερμάτων ευρώ και φορολογικές ρυθμίσεις για την εισαγωγή του ευρώ» (Α΄242) και τις διατάξεις των παρ.1, 2 και 3 του άρθρου 35 του ν.3986/2011 «Επείγοντα Μέτρα Εφαρμογής Μεσοπρόθεσμου Πλαισίου Δημοσιονομικής Στρατηγικής 2012-2015» (Α΄152).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Το π.δ. 142/2017 «περί του Oργανισμού του Υπουργείου Οικονομικών» (Α΄ 181).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Την υπ’ αριθ. Δ5Α 1123655 ΕΞ/6-8-2013 Απόφαση του Υπουργού Οικονομικών «Ανάθεση είσπραξης Δημοσίων Εσόδων σε φορείς είσπραξης μέσω των Υπηρεσιών της εταιρείας Διατραπεζικά Συστήματα Α. Ε.(ΔΙΑΣ Α.Ε)» (Β’ 1964).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Το π.δ. 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Την υπ’ αριθ. ΥΠΟΙΚ 102916 ΕΞ 2023/10-7-2023 Απόφαση του Πρωθυπουργού και του Υπουργού Οικονομικών «Ανάθεση αρμοδιοτήτων στον Υφυπουργό Οικονομικών Θεοχάρη Θεοχάρη, (Β΄4441).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b/>
          <w:bCs/>
          <w:lang w:val="el" w:eastAsia="el"/>
        </w:rPr>
        <w:t>Τις διατάξεις του ν 4389/2016 «Επείγουσες διατάξεις για την εφαρμογή της συμφωνίας δημοσιονομικών στόχων και διορθωτικών μεταρρυθμίσεων και άλλες διατάξεις» (Α΄94)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9. </w:t>
      </w:r>
      <w:r>
        <w:rPr>
          <w:b/>
          <w:bCs/>
          <w:lang w:val="el" w:eastAsia="el"/>
        </w:rPr>
        <w:t>Την ανάγκη διευκόλυνσης των υπόχρεων για την εμπρόθεσμη καταβολή των τελών κυκλοφορίας έτους 2024,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10. </w:t>
      </w:r>
      <w:r>
        <w:rPr>
          <w:b/>
          <w:bCs/>
          <w:lang w:val="el" w:eastAsia="el"/>
        </w:rPr>
        <w:t>Τη διαπίστωση ότι από την εφαρμογή της παρούσας προκαλείται μικρή μετάθεση του χρόνου είσπραξης τελών κυκλοφορίας έτους 2024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>.Η προθεσμία για την εμπρόθεσμη καταβολή των τελών κυκλοφορίας έτους 2024, που λήγει την 31-12-2023, καθώς και για τη θέση των οχημάτων σε ακινησία, παρατείνεται έως και 29/02/2024.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.Η ισχύς της παρούσας απόφασης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ΕΘΝΙΚΗΣ ΟΙΚΟΝΟΜΙΑΣ ΚΑΙ ΟΙΚΟΝΟΜΙΚΩΝΘΕΟΧΑΡΗΣ ΘΕΟΧΑΡΗΣ</w:t>
      </w: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 και τα ΚΕΒΕΙΣ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Δ/νση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Εθνικής Οικονομίας και Οικονομικών 2 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Υφυπουργού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Marketing- Τομέας Χρηματ/κών Προϊόντων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Υπηρεσιών Σταδίου 60, 101 88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Γενικού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>.Γραφείο Γενικής Διευθύντριας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Γραφείο Γενικού Διευθυντή Φορολογικών Λειτουργιών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Δ/νση Διαδικασιών Εισπράξεων &amp; Επιστροφών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9. </w:t>
      </w:r>
      <w:r>
        <w:rPr>
          <w:b/>
          <w:bCs/>
          <w:lang w:val="el" w:eastAsia="el"/>
        </w:rPr>
        <w:t>Δ/νση Ανάπτυξης Φορολογικών Εφαρμογών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10. </w:t>
      </w:r>
      <w:r>
        <w:rPr>
          <w:b/>
          <w:bCs/>
          <w:lang w:val="el" w:eastAsia="el"/>
        </w:rPr>
        <w:t>Δ/νση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11. </w:t>
      </w:r>
      <w:r>
        <w:rPr>
          <w:b/>
          <w:bCs/>
          <w:lang w:val="el" w:eastAsia="el"/>
        </w:rPr>
        <w:t>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12. </w:t>
      </w:r>
      <w:r>
        <w:rPr>
          <w:b/>
          <w:bCs/>
          <w:lang w:val="el" w:eastAsia="el"/>
        </w:rPr>
        <w:t>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13. </w:t>
      </w:r>
      <w:r>
        <w:rPr>
          <w:b/>
          <w:bCs/>
          <w:lang w:val="el" w:eastAsia="el"/>
        </w:rPr>
        <w:t>Διεύθυνση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