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ΓΡΑΦΕΙΟ ΥΦΥΠΟΥΡΓΟΥ</w:t>
      </w:r>
    </w:p>
    <w:p>
      <w:pPr>
        <w:pStyle w:val="Title"/>
        <w:spacing w:before="120" w:after="360"/>
        <w:rPr>
          <w:lang w:val="el" w:eastAsia="el"/>
        </w:rPr>
      </w:pPr>
      <w:r>
        <w:rPr>
          <w:b/>
          <w:bCs/>
          <w:lang w:val="el" w:eastAsia="el"/>
        </w:rPr>
        <w:t>ΓΕΝΙΚΗ ΓΡΑΜΜΑΤΕΙΑ ΦΟΡΟΛΟΓΙΚΗΣ ΠΟΛΙΤΙΚΗΣ</w:t>
      </w:r>
    </w:p>
    <w:p>
      <w:pPr>
        <w:pStyle w:val="Title"/>
        <w:spacing w:before="120" w:after="360"/>
        <w:rPr>
          <w:lang w:val="el" w:eastAsia="el"/>
        </w:rPr>
      </w:pPr>
      <w:r>
        <w:rPr>
          <w:b/>
          <w:bCs/>
          <w:lang w:val="el" w:eastAsia="el"/>
        </w:rPr>
        <w:t>Δ/ΝΣΗ ΦΟΡΟΛΟΓΙΚΗΣ ΠΟΛΙΤΙΚΗΣ</w:t>
      </w:r>
    </w:p>
    <w:p>
      <w:pPr>
        <w:pStyle w:val="Title"/>
        <w:spacing w:before="120" w:after="360"/>
        <w:rPr>
          <w:lang w:val="el" w:eastAsia="el"/>
        </w:rPr>
      </w:pPr>
      <w:r>
        <w:rPr>
          <w:b/>
          <w:bCs/>
          <w:lang w:val="el" w:eastAsia="el"/>
        </w:rPr>
        <w:t>Α. ΓΕΝ. Δ/ΝΣΗ ΦΟΡΟΛΟΓΙAΣ</w:t>
      </w:r>
    </w:p>
    <w:p>
      <w:pPr>
        <w:pStyle w:val="Title"/>
        <w:spacing w:before="120" w:after="360"/>
        <w:rPr>
          <w:lang w:val="el" w:eastAsia="el"/>
        </w:rPr>
      </w:pPr>
      <w:r>
        <w:rPr>
          <w:b/>
          <w:bCs/>
          <w:lang w:val="el" w:eastAsia="el"/>
        </w:rPr>
        <w:t>Δ/ΝΣΗ ΕΦΑΡΜΟΓΗΣ ΕΜΜΕΣΗΣ</w:t>
      </w:r>
    </w:p>
    <w:p>
      <w:pPr>
        <w:pStyle w:val="Title"/>
        <w:spacing w:before="120" w:after="360"/>
        <w:rPr>
          <w:lang w:val="el" w:eastAsia="el"/>
        </w:rPr>
      </w:pPr>
      <w:r>
        <w:rPr>
          <w:b/>
          <w:bCs/>
          <w:lang w:val="el" w:eastAsia="el"/>
        </w:rPr>
        <w:t>ΦΟΡΟΛΟΓΙΑΣ - ΤΜΗΜΑΤΑ Α΄&amp; Γ</w:t>
      </w:r>
    </w:p>
    <w:p>
      <w:pPr>
        <w:pStyle w:val="Title"/>
        <w:spacing w:before="120" w:after="360"/>
        <w:rPr>
          <w:lang w:val="el" w:eastAsia="el"/>
        </w:rPr>
      </w:pPr>
      <w:r>
        <w:rPr>
          <w:b/>
          <w:bCs/>
          <w:lang w:val="el" w:eastAsia="el"/>
        </w:rPr>
        <w:t>Β. ΓΕΝ. Δ/ΝΣΗ ΤΕΛΩΝΕΙΩΝ &amp; Ε.Φ.Κ</w:t>
      </w:r>
    </w:p>
    <w:p>
      <w:pPr>
        <w:pStyle w:val="Title"/>
        <w:spacing w:before="120" w:after="360"/>
        <w:rPr>
          <w:lang w:val="el" w:eastAsia="el"/>
        </w:rPr>
      </w:pPr>
      <w:r>
        <w:rPr>
          <w:b/>
          <w:bCs/>
          <w:lang w:val="el" w:eastAsia="el"/>
        </w:rPr>
        <w:t>Δ/ΝΣΗ Ε.Φ.Κ &amp; 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Φ.Π.Α ΕΙΣΑΓΩΓΩΝ - ΕΞΑΓΩΓΩΝ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2"/>
        <w:gridCol w:w="31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213.212.2.400</w:t>
            </w:r>
          </w:p>
          <w:p>
            <w:pPr>
              <w:spacing w:before="240"/>
              <w:rPr>
                <w:b w:val="0"/>
                <w:bCs w:val="0"/>
                <w:i w:val="0"/>
                <w:iCs w:val="0"/>
                <w:smallCaps w:val="0"/>
                <w:color w:val="000000"/>
                <w:lang w:val="el" w:eastAsia="el"/>
              </w:rPr>
            </w:pPr>
            <w:r>
              <w:rPr>
                <w:b/>
                <w:bCs/>
                <w:i w:val="0"/>
                <w:iCs w:val="0"/>
                <w:smallCaps w:val="0"/>
                <w:color w:val="000000"/>
                <w:lang w:val="el" w:eastAsia="el"/>
              </w:rPr>
              <w:t>210 69.87.469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 </w:t>
            </w:r>
            <w:hyperlink r:id="rId4" w:history="1">
              <w:r>
                <w:rPr>
                  <w:rStyle w:val="Hyperlink"/>
                  <w:b/>
                  <w:bCs/>
                  <w:i w:val="0"/>
                  <w:iCs w:val="0"/>
                  <w:smallCaps w:val="0"/>
                  <w:color w:val="0000EE"/>
                  <w:u w:color="0000EE"/>
                  <w:lang w:val="el" w:eastAsia="el"/>
                </w:rPr>
                <w:t>deef@aade.gr</w:t>
              </w:r>
            </w:hyperlink>
          </w:p>
          <w:p>
            <w:pPr>
              <w:spacing w:before="240"/>
              <w:rPr>
                <w:b w:val="0"/>
                <w:bCs w:val="0"/>
                <w:i w:val="0"/>
                <w:iCs w:val="0"/>
                <w:smallCaps w:val="0"/>
                <w:color w:val="000000"/>
                <w:lang w:val="el" w:eastAsia="el"/>
              </w:rPr>
            </w:pPr>
            <w:hyperlink r:id="rId5" w:history="1">
              <w:r>
                <w:rPr>
                  <w:rStyle w:val="Hyperlink"/>
                  <w:b/>
                  <w:bCs/>
                  <w:i w:val="0"/>
                  <w:iCs w:val="0"/>
                  <w:smallCaps w:val="0"/>
                  <w:color w:val="0000EE"/>
                  <w:u w:color="0000EE"/>
                  <w:lang w:val="el" w:eastAsia="el"/>
                </w:rPr>
                <w:t>vat-customs@aade.gr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6"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ΠΡΟΣ: Ως πίνακα διανομής</w:t>
      </w:r>
    </w:p>
    <w:p>
      <w:pPr>
        <w:spacing w:before="240" w:after="240"/>
        <w:rPr>
          <w:lang w:val="el" w:eastAsia="el"/>
        </w:rPr>
      </w:pPr>
      <w:r>
        <w:rPr>
          <w:lang w:val="el" w:eastAsia="el"/>
        </w:rPr>
        <w:t xml:space="preserve">3. </w:t>
      </w:r>
      <w:r>
        <w:rPr>
          <w:b/>
          <w:bCs/>
          <w:lang w:val="el" w:eastAsia="el"/>
        </w:rPr>
        <w:t>ΥΠΟΥΡΓΕΙΟ ΝΑΥΤΙΛΙΑΣ &amp; ΝΗΣΙΩΤΙΚΗΣ ΠΟΛΙΤΙΚΗΣ</w:t>
      </w:r>
    </w:p>
    <w:p>
      <w:pPr>
        <w:spacing w:before="240" w:after="240"/>
        <w:rPr>
          <w:lang w:val="el" w:eastAsia="el"/>
        </w:rPr>
      </w:pPr>
      <w:r>
        <w:rPr>
          <w:b/>
          <w:bCs/>
          <w:lang w:val="el" w:eastAsia="el"/>
        </w:rPr>
        <w:t>Θέμα: Τροποποίηση της υπό στοιχεία ΠΟΛ 1177/19-9-2018 κοινής υπουργικής απόφασης «Όροι και προϋποθέσεις για τη διενέργεια δραστηριότητας των πλοίων κυρίως στην ανοιχτή θάλασσα για σκοπούς χορήγησης απαλλαγών από το φόρο προστιθέμενης αξίας»(B’ 4420)-Παράταση προθεσμίας</w:t>
      </w:r>
    </w:p>
    <w:p>
      <w:pPr>
        <w:spacing w:before="240" w:after="240"/>
        <w:rPr>
          <w:lang w:val="el" w:eastAsia="el"/>
        </w:rPr>
      </w:pPr>
      <w:r>
        <w:rPr>
          <w:b/>
          <w:bCs/>
          <w:lang w:val="el" w:eastAsia="el"/>
        </w:rPr>
        <w:t>Α Π Ο Φ Α Σ ΗΟΙ ΥΠΟΥΡΓΟΙ ΕΘΝΙΚΗΣ ΟΙΚΟΝΟΜΙΑΣ ΚΑΙ ΟΙΚΟΝΟΜΙΚΩΝ - ΝΑΥΤΙΛΙΑΣ ΚΑΙ ΝΗΣΙΩΤΙΚΗΣΠΟΛΙΤΙΚΗΣ</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.Την περ. α’ της παρ. 1 του άρθρου 27 του Κώδικα Φόρου Προστιθέμενης Αξίας (ν. 2859/2000, Α΄ 248).</w:t>
      </w:r>
    </w:p>
    <w:p>
      <w:pPr>
        <w:spacing w:before="240" w:after="240"/>
        <w:rPr>
          <w:lang w:val="el" w:eastAsia="el"/>
        </w:rPr>
      </w:pPr>
      <w:r>
        <w:rPr>
          <w:lang w:val="el" w:eastAsia="el"/>
        </w:rPr>
        <w:t xml:space="preserve">2. </w:t>
      </w:r>
      <w:r>
        <w:rPr>
          <w:b/>
          <w:bCs/>
          <w:lang w:val="el" w:eastAsia="el"/>
        </w:rPr>
        <w:t>Την υπό στοιχεία ΠΟΛ 1177/19-9-2018 κοινής υπουργικής απόφασης της Υφυπουργού Οικονομικών και του Υπουργού Ναυτιλίας και Νησιωτικής Πολιτικής «Όροι και προϋποθέσεις για τη διενέργεια δραστηριότητας των πλοίων κυρίως στην ανοιχτή θάλασσα για σκοπούς χορήγησης απαλλαγών από το φόρο προστιθέμενης αξίας» (Β' 4420).</w:t>
      </w:r>
    </w:p>
    <w:p>
      <w:pPr>
        <w:spacing w:before="240" w:after="240"/>
        <w:rPr>
          <w:lang w:val="el" w:eastAsia="el"/>
        </w:rPr>
      </w:pPr>
      <w:r>
        <w:rPr>
          <w:lang w:val="el" w:eastAsia="el"/>
        </w:rPr>
        <w:t xml:space="preserve">3. </w:t>
      </w:r>
      <w:r>
        <w:rPr>
          <w:b/>
          <w:bCs/>
          <w:lang w:val="el" w:eastAsia="el"/>
        </w:rPr>
        <w:t>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spacing w:before="240" w:after="240"/>
        <w:rPr>
          <w:lang w:val="el" w:eastAsia="el"/>
        </w:rPr>
      </w:pPr>
      <w:r>
        <w:rPr>
          <w:lang w:val="el" w:eastAsia="el"/>
        </w:rPr>
        <w:t xml:space="preserve">4. </w:t>
      </w:r>
      <w:r>
        <w:rPr>
          <w:b/>
          <w:bCs/>
          <w:lang w:val="el" w:eastAsia="el"/>
        </w:rPr>
        <w:t>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(Α΄114).</w:t>
      </w:r>
    </w:p>
    <w:p>
      <w:pPr>
        <w:spacing w:before="240" w:after="240"/>
        <w:rPr>
          <w:lang w:val="el" w:eastAsia="el"/>
        </w:rPr>
      </w:pPr>
      <w:r>
        <w:rPr>
          <w:lang w:val="el" w:eastAsia="el"/>
        </w:rPr>
        <w:t xml:space="preserve">5. </w:t>
      </w:r>
      <w:r>
        <w:rPr>
          <w:b/>
          <w:bCs/>
          <w:lang w:val="el" w:eastAsia="el"/>
        </w:rPr>
        <w:t>Το π.δ. 142/2017 «Οργανισμός του Υπουργείου Οικονομικών» (Α΄181).</w:t>
      </w:r>
    </w:p>
    <w:p>
      <w:pPr>
        <w:spacing w:before="240" w:after="240"/>
        <w:rPr>
          <w:lang w:val="el" w:eastAsia="el"/>
        </w:rPr>
      </w:pPr>
      <w:r>
        <w:rPr>
          <w:lang w:val="el" w:eastAsia="el"/>
        </w:rPr>
        <w:t xml:space="preserve">6. </w:t>
      </w:r>
      <w:r>
        <w:rPr>
          <w:b/>
          <w:bCs/>
          <w:lang w:val="el" w:eastAsia="el"/>
        </w:rPr>
        <w:t>Το π.δ. 13/2018 «Οργανισμός Υπουργείου Ναυτιλίας και Νησιωτικής Πολιτικής» (Α΄26).</w:t>
      </w:r>
    </w:p>
    <w:p>
      <w:pPr>
        <w:spacing w:before="240" w:after="240"/>
        <w:rPr>
          <w:lang w:val="el" w:eastAsia="el"/>
        </w:rPr>
      </w:pPr>
      <w:r>
        <w:rPr>
          <w:lang w:val="el" w:eastAsia="el"/>
        </w:rPr>
        <w:t xml:space="preserve">7. </w:t>
      </w:r>
      <w:r>
        <w:rPr>
          <w:b/>
          <w:bCs/>
          <w:lang w:val="el" w:eastAsia="el"/>
        </w:rPr>
        <w:t>Το π.δ. 79/2023 «Διορισμός Υπουργών, Αναπληρωτών Υπουργών και Υφυπουργών» (Α’ 131)</w:t>
      </w:r>
    </w:p>
    <w:p>
      <w:pPr>
        <w:spacing w:before="240" w:after="240"/>
        <w:rPr>
          <w:lang w:val="el" w:eastAsia="el"/>
        </w:rPr>
      </w:pPr>
      <w:r>
        <w:rPr>
          <w:lang w:val="el" w:eastAsia="el"/>
        </w:rPr>
        <w:t xml:space="preserve">8. </w:t>
      </w:r>
      <w:r>
        <w:rPr>
          <w:b/>
          <w:bCs/>
          <w:lang w:val="el" w:eastAsia="el"/>
        </w:rPr>
        <w:t>Το άρθρο 1 του π.δ. 84/2019 (Α΄123) με το οποίο συστάθηκε στο Υπουργείο Οικονομικών Γενική Γραμματεία Φορολογικής Πολιτικής και Δημόσιας Περιουσίας</w:t>
      </w:r>
    </w:p>
    <w:p>
      <w:pPr>
        <w:spacing w:before="240" w:after="240"/>
        <w:rPr>
          <w:lang w:val="el" w:eastAsia="el"/>
        </w:rPr>
      </w:pPr>
      <w:r>
        <w:rPr>
          <w:lang w:val="el" w:eastAsia="el"/>
        </w:rPr>
        <w:t xml:space="preserve">9. </w:t>
      </w:r>
      <w:r>
        <w:rPr>
          <w:b/>
          <w:bCs/>
          <w:lang w:val="el" w:eastAsia="el"/>
        </w:rPr>
        <w:t>Την υπό στοιχεία 102916/ΕΞ 2023/10.7.2023 κοινή απόφαση του Πρωθυπουργού και Υπουργού Οικονομικών «Ανάθεση αρμοδιοτήτων στον Υφυπουργό Οικονομικών Θεοχάρη Θεοχάρη» (Β΄ 3051).</w:t>
      </w:r>
    </w:p>
    <w:p>
      <w:pPr>
        <w:spacing w:before="240" w:after="240"/>
        <w:rPr>
          <w:lang w:val="el" w:eastAsia="el"/>
        </w:rPr>
      </w:pPr>
      <w:r>
        <w:rPr>
          <w:lang w:val="el" w:eastAsia="el"/>
        </w:rPr>
        <w:t xml:space="preserve">10. </w:t>
      </w:r>
      <w:r>
        <w:rPr>
          <w:b/>
          <w:bCs/>
          <w:lang w:val="el" w:eastAsia="el"/>
        </w:rPr>
        <w:t>Το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τα άρθρα 1,2,13,14,17 και 41.</w:t>
      </w:r>
    </w:p>
    <w:p>
      <w:pPr>
        <w:spacing w:before="240" w:after="240"/>
        <w:rPr>
          <w:lang w:val="el" w:eastAsia="el"/>
        </w:rPr>
      </w:pPr>
      <w:r>
        <w:rPr>
          <w:lang w:val="el" w:eastAsia="el"/>
        </w:rPr>
        <w:t xml:space="preserve">11. </w:t>
      </w:r>
      <w:r>
        <w:rPr>
          <w:b/>
          <w:bCs/>
          <w:lang w:val="el" w:eastAsia="el"/>
        </w:rPr>
        <w:t>Την ανάγκη τροποποίησης των μεταβατικών διατάξεων της υπό στοιχεία ΠΟΛ 1177/19-92018 κοινής υπουργικής απόφασης μέχρι την ολοκλήρωση των απαιτούμενων βάσει της απόφασης αυτής ηλεκτρονικών εφαρμογών, αναγκαίων για τη διευκόλυνση των φορολογουμένων.</w:t>
      </w:r>
    </w:p>
    <w:p>
      <w:pPr>
        <w:spacing w:before="240" w:after="240"/>
        <w:rPr>
          <w:lang w:val="el" w:eastAsia="el"/>
        </w:rPr>
      </w:pPr>
      <w:r>
        <w:rPr>
          <w:lang w:val="el" w:eastAsia="el"/>
        </w:rPr>
        <w:t xml:space="preserve">12.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Η παρ. 1 του άρθρου 7 της υπό στοιχεία ΠΟΛ 1177/19-9-2018 τροποποιείται ως εξής:</w:t>
      </w:r>
    </w:p>
    <w:p>
      <w:pPr>
        <w:spacing w:before="240" w:after="240"/>
        <w:rPr>
          <w:lang w:val="el" w:eastAsia="el"/>
        </w:rPr>
      </w:pPr>
      <w:r>
        <w:rPr>
          <w:b/>
          <w:bCs/>
          <w:lang w:val="el" w:eastAsia="el"/>
        </w:rPr>
        <w:t>«Για την ημερολογιακή περίοδο από 01.04.2018 έως την 31.12.2024 και για τις χορηγηθείσες απαλλαγές της υποπερ. αα΄ της περ. α΄ της παρ. 1 του άρθρου 27 του Κώδικα ΦΠΑ εντός της περιόδου αυτής, θεωρούνται ως πλοία που διενεργούν δραστηριότητα κυρίως στην ανοιχτή θάλασσα τα πλοία της περ. (i) της παρ. 1 του άρθρου 27 που διενήργησαν πλόες στην ανοιχτή θάλασσα, κατά την έννοια της παρ. 1 του άρθρου 2 της παρούσας.»</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Η παρούσα απόφαση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 xml:space="preserve">Ο ΥΠΟΥΡΓΟΣ ΝΑΥΤΙΛΙΑΣ &amp; </w:t>
      </w:r>
    </w:p>
    <w:p>
      <w:pPr>
        <w:spacing w:before="240" w:after="240"/>
        <w:rPr>
          <w:lang w:val="el" w:eastAsia="el"/>
        </w:rPr>
      </w:pPr>
      <w:r>
        <w:rPr>
          <w:b/>
          <w:bCs/>
          <w:lang w:val="el" w:eastAsia="el"/>
        </w:rPr>
        <w:t>ΝΗΣΙΩΤΙΚΗΣΠΟΛΙΤΙΚΗΣ</w:t>
      </w:r>
    </w:p>
    <w:p>
      <w:pPr>
        <w:spacing w:before="240" w:after="240"/>
        <w:rPr>
          <w:lang w:val="el" w:eastAsia="el"/>
        </w:rPr>
      </w:pPr>
      <w:r>
        <w:rPr>
          <w:b/>
          <w:bCs/>
          <w:lang w:val="el" w:eastAsia="el"/>
        </w:rPr>
        <w:t>ΧΡΗΣΤΟΣ ΣΤΥΛΙΑΝΙΔΗΣ</w:t>
      </w:r>
    </w:p>
    <w:p>
      <w:pPr>
        <w:spacing w:before="240" w:after="240"/>
        <w:rPr>
          <w:lang w:val="el" w:eastAsia="el"/>
        </w:rPr>
      </w:pPr>
      <w:r>
        <w:rPr>
          <w:b/>
          <w:bCs/>
          <w:lang w:val="el" w:eastAsia="el"/>
        </w:rPr>
        <w:t>Ο ΥΦΥΠΟΥΡΓΟΣ ΕΘΝΙΚΗΣ ΟΙΚΟΝΟΜΙΑΣΚΑΙ ΟΙΚΟΝΟΜΙΚΩΝ</w:t>
      </w:r>
    </w:p>
    <w:p>
      <w:pPr>
        <w:spacing w:before="240" w:after="240"/>
        <w:rPr>
          <w:lang w:val="el" w:eastAsia="el"/>
        </w:rPr>
      </w:pPr>
      <w:r>
        <w:rPr>
          <w:b/>
          <w:bCs/>
          <w:lang w:val="el" w:eastAsia="el"/>
        </w:rPr>
        <w:t>ΘΕΟΧΑΡΗΣ ΘΕΟΧΑΡΗΣ</w:t>
      </w:r>
    </w:p>
    <w:p>
      <w:pPr>
        <w:spacing w:before="240" w:after="240"/>
        <w:rPr>
          <w:lang w:val="el" w:eastAsia="el"/>
        </w:rPr>
      </w:pPr>
      <w:r>
        <w:rPr>
          <w:b/>
          <w:bCs/>
          <w:lang w:val="el" w:eastAsia="el"/>
        </w:rPr>
        <w:t>ΑΠΟΔΕΚΤΕΣ ΓΙΑ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Αποδέκτες Πίνακα Δ΄</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(ΔΙ.Σ.ΤΕ.ΠΛ.) για ανάρτηση στην ιστοσελίδα της ΑΑΔΕ και την Ηλεκτρονική Βιβλιοθήκη της ΑΑΔΕ.</w:t>
      </w:r>
    </w:p>
    <w:p>
      <w:pPr>
        <w:spacing w:before="240" w:after="240"/>
        <w:rPr>
          <w:lang w:val="el" w:eastAsia="el"/>
        </w:rPr>
      </w:pPr>
      <w:r>
        <w:rPr>
          <w:lang w:val="el" w:eastAsia="el"/>
        </w:rPr>
        <w:t xml:space="preserve">4. </w:t>
      </w:r>
      <w:r>
        <w:rPr>
          <w:b/>
          <w:bCs/>
          <w:lang w:val="el" w:eastAsia="el"/>
        </w:rPr>
        <w:t>Εθνικό Τυπογραφείο για δημοσίευση της απόφασης.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Αποδέκτες Πίνακα Α΄ μόνο οι αριθ. 1 και 4.</w:t>
      </w:r>
    </w:p>
    <w:p>
      <w:pPr>
        <w:spacing w:before="240" w:after="240"/>
        <w:rPr>
          <w:lang w:val="el" w:eastAsia="el"/>
        </w:rPr>
      </w:pPr>
      <w:r>
        <w:rPr>
          <w:lang w:val="el" w:eastAsia="el"/>
        </w:rPr>
        <w:t xml:space="preserve">2. </w:t>
      </w:r>
      <w:r>
        <w:rPr>
          <w:b/>
          <w:bCs/>
          <w:lang w:val="el" w:eastAsia="el"/>
        </w:rPr>
        <w:t>Αποδέκτες Πίνακα Β΄</w:t>
      </w:r>
    </w:p>
    <w:p>
      <w:pPr>
        <w:spacing w:before="240" w:after="240"/>
        <w:rPr>
          <w:lang w:val="el" w:eastAsia="el"/>
        </w:rPr>
      </w:pPr>
      <w:r>
        <w:rPr>
          <w:lang w:val="el" w:eastAsia="el"/>
        </w:rPr>
        <w:t xml:space="preserve">3. </w:t>
      </w:r>
      <w:r>
        <w:rPr>
          <w:b/>
          <w:bCs/>
          <w:lang w:val="el" w:eastAsia="el"/>
        </w:rPr>
        <w:t>Αποδέκτες Πίνακα Γ΄</w:t>
      </w:r>
    </w:p>
    <w:p>
      <w:pPr>
        <w:spacing w:before="240" w:after="240"/>
        <w:rPr>
          <w:lang w:val="el" w:eastAsia="el"/>
        </w:rPr>
      </w:pPr>
      <w:r>
        <w:rPr>
          <w:b/>
          <w:bCs/>
          <w:lang w:val="el" w:eastAsia="el"/>
        </w:rPr>
        <w:t>» » Ζ΄.</w:t>
      </w:r>
    </w:p>
    <w:p>
      <w:pPr>
        <w:spacing w:before="240" w:after="240"/>
        <w:rPr>
          <w:lang w:val="el" w:eastAsia="el"/>
        </w:rPr>
      </w:pPr>
      <w:r>
        <w:rPr>
          <w:b/>
          <w:bCs/>
          <w:lang w:val="el" w:eastAsia="el"/>
        </w:rPr>
        <w:t>» » Η΄.</w:t>
      </w:r>
    </w:p>
    <w:p>
      <w:pPr>
        <w:spacing w:before="240" w:after="240"/>
        <w:rPr>
          <w:lang w:val="el" w:eastAsia="el"/>
        </w:rPr>
      </w:pPr>
      <w:r>
        <w:rPr>
          <w:b/>
          <w:bCs/>
          <w:lang w:val="el" w:eastAsia="el"/>
        </w:rPr>
        <w:t>» » Θ΄ μόνο οι αριθ.4 περ. η΄, 10, 17 και 18.</w:t>
      </w:r>
    </w:p>
    <w:p>
      <w:pPr>
        <w:spacing w:before="240" w:after="240"/>
        <w:rPr>
          <w:lang w:val="el" w:eastAsia="el"/>
        </w:rPr>
      </w:pPr>
      <w:r>
        <w:rPr>
          <w:b/>
          <w:bCs/>
          <w:lang w:val="el" w:eastAsia="el"/>
        </w:rPr>
        <w:t>» » Ι΄.</w:t>
      </w:r>
    </w:p>
    <w:p>
      <w:pPr>
        <w:spacing w:before="240" w:after="240"/>
        <w:rPr>
          <w:lang w:val="el" w:eastAsia="el"/>
        </w:rPr>
      </w:pPr>
      <w:r>
        <w:rPr>
          <w:b/>
          <w:bCs/>
          <w:lang w:val="el" w:eastAsia="el"/>
        </w:rPr>
        <w:t>» » ΙΑ΄ μόνο ο αριθ. 2.</w:t>
      </w:r>
    </w:p>
    <w:p>
      <w:pPr>
        <w:spacing w:before="240" w:after="240"/>
        <w:rPr>
          <w:lang w:val="el" w:eastAsia="el"/>
        </w:rPr>
      </w:pPr>
      <w:r>
        <w:rPr>
          <w:b/>
          <w:bCs/>
          <w:lang w:val="el" w:eastAsia="el"/>
        </w:rPr>
        <w:t>» » ΙΒ΄.</w:t>
      </w:r>
    </w:p>
    <w:p>
      <w:pPr>
        <w:spacing w:before="240" w:after="240"/>
        <w:rPr>
          <w:lang w:val="el" w:eastAsia="el"/>
        </w:rPr>
      </w:pPr>
      <w:r>
        <w:rPr>
          <w:b/>
          <w:bCs/>
          <w:lang w:val="el" w:eastAsia="el"/>
        </w:rPr>
        <w:t>» » ΙΗ΄.</w:t>
      </w:r>
    </w:p>
    <w:p>
      <w:pPr>
        <w:spacing w:before="240" w:after="240"/>
        <w:rPr>
          <w:lang w:val="el" w:eastAsia="el"/>
        </w:rPr>
      </w:pPr>
      <w:r>
        <w:rPr>
          <w:b/>
          <w:bCs/>
          <w:lang w:val="el" w:eastAsia="el"/>
        </w:rPr>
        <w:t>» » Κ΄.</w:t>
      </w:r>
    </w:p>
    <w:p>
      <w:pPr>
        <w:spacing w:before="240" w:after="240"/>
        <w:rPr>
          <w:lang w:val="el" w:eastAsia="el"/>
        </w:rPr>
      </w:pPr>
      <w:r>
        <w:rPr>
          <w:b/>
          <w:bCs/>
          <w:lang w:val="el" w:eastAsia="el"/>
        </w:rPr>
        <w:t>» » ΚΓ΄.</w:t>
      </w:r>
    </w:p>
    <w:p>
      <w:pPr>
        <w:spacing w:before="240" w:after="240"/>
        <w:rPr>
          <w:lang w:val="el" w:eastAsia="el"/>
        </w:rPr>
      </w:pPr>
      <w:r>
        <w:rPr>
          <w:lang w:val="el" w:eastAsia="el"/>
        </w:rPr>
        <w:t xml:space="preserve">13. </w:t>
      </w:r>
      <w:r>
        <w:rPr>
          <w:b/>
          <w:bCs/>
          <w:lang w:val="el" w:eastAsia="el"/>
        </w:rPr>
        <w:t>Γραφείο Υπουργού Ναυτιλίας και Νησιωτικής Πολιτικής.</w:t>
      </w:r>
    </w:p>
    <w:p>
      <w:pPr>
        <w:spacing w:before="240" w:after="240"/>
        <w:rPr>
          <w:lang w:val="el" w:eastAsia="el"/>
        </w:rPr>
      </w:pPr>
      <w:r>
        <w:rPr>
          <w:lang w:val="el" w:eastAsia="el"/>
        </w:rPr>
        <w:t xml:space="preserve">14. </w:t>
      </w:r>
      <w:r>
        <w:rPr>
          <w:b/>
          <w:bCs/>
          <w:lang w:val="el" w:eastAsia="el"/>
        </w:rPr>
        <w:t>Γραφείο Υπουργού Οικονομικών</w:t>
      </w:r>
    </w:p>
    <w:p>
      <w:pPr>
        <w:spacing w:before="240" w:after="240"/>
        <w:rPr>
          <w:lang w:val="el" w:eastAsia="el"/>
        </w:rPr>
      </w:pPr>
      <w:r>
        <w:rPr>
          <w:lang w:val="el" w:eastAsia="el"/>
        </w:rPr>
        <w:t xml:space="preserve">15. </w:t>
      </w:r>
      <w:r>
        <w:rPr>
          <w:b/>
          <w:bCs/>
          <w:lang w:val="el" w:eastAsia="el"/>
        </w:rPr>
        <w:t>Γραφείο Υφυπουργού Οικονομικών.</w:t>
      </w:r>
    </w:p>
    <w:p>
      <w:pPr>
        <w:spacing w:before="240" w:after="240"/>
        <w:rPr>
          <w:lang w:val="el" w:eastAsia="el"/>
        </w:rPr>
      </w:pPr>
      <w:r>
        <w:rPr>
          <w:lang w:val="el" w:eastAsia="el"/>
        </w:rPr>
        <w:t xml:space="preserve">16. </w:t>
      </w:r>
      <w:r>
        <w:rPr>
          <w:b/>
          <w:bCs/>
          <w:lang w:val="el" w:eastAsia="el"/>
        </w:rPr>
        <w:t>Γραφείο Γεν. Γραμματέα Οικονομικής Πολιτικής.</w:t>
      </w:r>
    </w:p>
    <w:p>
      <w:pPr>
        <w:spacing w:before="240" w:after="240"/>
        <w:rPr>
          <w:lang w:val="el" w:eastAsia="el"/>
        </w:rPr>
      </w:pPr>
      <w:r>
        <w:rPr>
          <w:lang w:val="el" w:eastAsia="el"/>
        </w:rPr>
        <w:t xml:space="preserve">17. </w:t>
      </w:r>
      <w:r>
        <w:rPr>
          <w:b/>
          <w:bCs/>
          <w:lang w:val="el" w:eastAsia="el"/>
        </w:rPr>
        <w:t>Γραφείο Γεν. Γραμματέα Πληρ. Συστημάτων.</w:t>
      </w:r>
    </w:p>
    <w:p>
      <w:pPr>
        <w:spacing w:before="240" w:after="240"/>
        <w:rPr>
          <w:lang w:val="el" w:eastAsia="el"/>
        </w:rPr>
      </w:pPr>
      <w:r>
        <w:rPr>
          <w:lang w:val="el" w:eastAsia="el"/>
        </w:rPr>
        <w:t xml:space="preserve">18. </w:t>
      </w:r>
      <w:r>
        <w:rPr>
          <w:b/>
          <w:bCs/>
          <w:lang w:val="el" w:eastAsia="el"/>
        </w:rPr>
        <w:t>Γραφείο Γεν. Γραμματέα Φορολογικής Πολιτικής και Δημόσιας Περιουσίας.</w:t>
      </w:r>
    </w:p>
    <w:p>
      <w:pPr>
        <w:spacing w:before="240" w:after="240"/>
        <w:rPr>
          <w:lang w:val="el" w:eastAsia="el"/>
        </w:rPr>
      </w:pPr>
      <w:r>
        <w:rPr>
          <w:lang w:val="el" w:eastAsia="el"/>
        </w:rPr>
        <w:t xml:space="preserve">19. </w:t>
      </w:r>
      <w:r>
        <w:rPr>
          <w:b/>
          <w:bCs/>
          <w:lang w:val="el" w:eastAsia="el"/>
        </w:rPr>
        <w:t>Διεύθυνση Φορολογικής Πολιτικής.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Διοικητού ΑΑΔΕ.</w:t>
      </w:r>
    </w:p>
    <w:p>
      <w:pPr>
        <w:spacing w:before="240" w:after="240"/>
        <w:rPr>
          <w:lang w:val="el" w:eastAsia="el"/>
        </w:rPr>
      </w:pPr>
      <w:r>
        <w:rPr>
          <w:lang w:val="el" w:eastAsia="el"/>
        </w:rPr>
        <w:t xml:space="preserve">2. </w:t>
      </w:r>
      <w:r>
        <w:rPr>
          <w:b/>
          <w:bCs/>
          <w:lang w:val="el" w:eastAsia="el"/>
        </w:rPr>
        <w:t>Γραφείο κ. κ. Γενικών Διευθυντών.</w:t>
      </w:r>
    </w:p>
    <w:p>
      <w:pPr>
        <w:spacing w:before="240" w:after="240"/>
        <w:rPr>
          <w:lang w:val="el" w:eastAsia="el"/>
        </w:rPr>
      </w:pPr>
      <w:r>
        <w:rPr>
          <w:lang w:val="el" w:eastAsia="el"/>
        </w:rPr>
        <w:t xml:space="preserve">3. </w:t>
      </w:r>
      <w:r>
        <w:rPr>
          <w:b/>
          <w:bCs/>
          <w:lang w:val="el" w:eastAsia="el"/>
        </w:rPr>
        <w:t>ΔΕΕΦ – ΤΜΗΜΑ Α΄ ΦΠΑ.</w:t>
      </w:r>
    </w:p>
    <w:p>
      <w:pPr>
        <w:spacing w:before="240" w:after="240"/>
        <w:rPr>
          <w:lang w:val="el" w:eastAsia="el"/>
        </w:rPr>
      </w:pPr>
      <w:r>
        <w:rPr>
          <w:lang w:val="el" w:eastAsia="el"/>
        </w:rPr>
        <w:t xml:space="preserve">4. </w:t>
      </w:r>
      <w:r>
        <w:rPr>
          <w:b/>
          <w:bCs/>
          <w:lang w:val="el" w:eastAsia="el"/>
        </w:rPr>
        <w:t>Δ/νση Ε.Φ.Κ και Φ.Π.Α – 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hyperlink" Target="mailto:vat-customs@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