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 ΥΠΟΥΡΓΕΙΟ ΕΘΝΙΚΗΣ ΟΙΚΟΝΟΜΙΑΣ ΚΑΙ</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ΥΦΥΠΟΥΡΓΟΣ ΕΘΝΙΚΗΣ ΟΙΚΟΝΟΜΙΑΣ ΚΑΙ</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Β. ΥΠΟΥΡΓΕΙΟ ΕΣΩΤΕΡΙΚΩΝ</w:t>
      </w:r>
    </w:p>
    <w:p>
      <w:pPr>
        <w:pStyle w:val="Title"/>
        <w:spacing w:before="120" w:after="360"/>
        <w:rPr>
          <w:lang w:val="el" w:eastAsia="el"/>
        </w:rPr>
      </w:pPr>
      <w:r>
        <w:rPr>
          <w:b/>
          <w:bCs/>
          <w:lang w:val="el" w:eastAsia="el"/>
        </w:rPr>
        <w:t>ΑΝΑΠΛΗΡΩΤΗΣ ΥΠΟΥΡΓΟΣ ΕΣΩΤΕΡΙΚΩΝ</w:t>
      </w:r>
    </w:p>
    <w:p>
      <w:pPr>
        <w:pStyle w:val="PreambelText"/>
        <w:spacing w:before="240" w:after="240"/>
        <w:rPr>
          <w:lang w:val="el" w:eastAsia="el"/>
        </w:rPr>
      </w:pPr>
      <w:r>
        <w:rPr>
          <w:b/>
          <w:bCs/>
          <w:lang w:val="el" w:eastAsia="el"/>
        </w:rPr>
        <w:t>1.ΓΕΝΙΚΗ ΔΙΕΥΘΥΝΣΗ ΦΟΡΟΛΟΓΙΑΣ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Α, Β</w:t>
      </w:r>
    </w:p>
    <w:p>
      <w:pPr>
        <w:pStyle w:val="StructureList1"/>
        <w:spacing w:before="120" w:after="0"/>
        <w:rPr>
          <w:lang w:val="el" w:eastAsia="el"/>
        </w:rPr>
      </w:pPr>
      <w:r>
        <w:rPr>
          <w:lang w:val="el" w:eastAsia="el"/>
        </w:rPr>
        <w:t>-</w:t>
      </w:r>
      <w:r>
        <w:rPr>
          <w:lang w:val="en" w:eastAsia="en"/>
        </w:rPr>
        <w:tab/>
      </w:r>
      <w:r>
        <w:rPr>
          <w:b/>
          <w:bCs/>
          <w:lang w:val="el" w:eastAsia="el"/>
        </w:rPr>
        <w:t>ΔΙΕΥΘΥΝΣΗ ΔΙΑΔΙΚΑΣΙΩΝ ΕΙΣΠΡΑΞΕΩΝ</w:t>
      </w:r>
    </w:p>
    <w:p>
      <w:pPr>
        <w:pStyle w:val="PreambelText"/>
        <w:spacing w:before="240" w:after="240"/>
        <w:rPr>
          <w:lang w:val="el" w:eastAsia="el"/>
        </w:rPr>
      </w:pPr>
      <w:r>
        <w:rPr>
          <w:b/>
          <w:bCs/>
          <w:lang w:val="el" w:eastAsia="el"/>
        </w:rPr>
        <w:t>ΚΑΙ ΕΠΙΣΤΡΟΦΩΝ</w:t>
      </w:r>
    </w:p>
    <w:p>
      <w:pPr>
        <w:pStyle w:val="Heading1"/>
        <w:spacing w:before="240" w:after="240"/>
        <w:rPr>
          <w:lang w:val="el" w:eastAsia="el"/>
        </w:rPr>
      </w:pPr>
      <w:r>
        <w:rPr>
          <w:b/>
          <w:bCs/>
          <w:lang w:val="el" w:eastAsia="el"/>
        </w:rPr>
        <w:t>ΤΜΗΜ</w:t>
      </w:r>
    </w:p>
    <w:p>
      <w:pPr>
        <w:pStyle w:val="Heading1"/>
        <w:spacing w:before="240" w:after="240"/>
        <w:rPr>
          <w:lang w:val="el" w:eastAsia="el"/>
        </w:rPr>
      </w:pPr>
      <w:r>
        <w:rPr>
          <w:b/>
          <w:bCs/>
          <w:lang w:val="el" w:eastAsia="el"/>
        </w:rPr>
        <w:t>Α Α</w:t>
      </w:r>
    </w:p>
    <w:p>
      <w:pPr>
        <w:spacing w:before="240" w:after="240"/>
        <w:rPr>
          <w:lang w:val="el" w:eastAsia="el"/>
        </w:rPr>
      </w:pPr>
      <w:r>
        <w:rPr>
          <w:b/>
          <w:bCs/>
          <w:lang w:val="el" w:eastAsia="el"/>
        </w:rPr>
        <w:t>2.ΓΕΝΙΚΗ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ΑΝΑΠΤΥΞΗΣ ΦΟΡΟΛΟΓΙΚΩΝ ΕΦΑΡΜΟΓΩΝ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-ΔΙΕΥΘΥΝΣΗ ΕΠΙΧΕΙΡΗΣΙΑΚΩΝ</w:t>
      </w:r>
    </w:p>
    <w:p>
      <w:pPr>
        <w:spacing w:before="240" w:after="240"/>
        <w:rPr>
          <w:lang w:val="el" w:eastAsia="el"/>
        </w:rPr>
      </w:pPr>
      <w:r>
        <w:rPr>
          <w:b/>
          <w:bCs/>
          <w:lang w:val="el" w:eastAsia="el"/>
        </w:rPr>
        <w:t>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B</w:t>
      </w:r>
    </w:p>
    <w:p>
      <w:pPr>
        <w:spacing w:before="240" w:after="240"/>
        <w:rPr>
          <w:lang w:val="el" w:eastAsia="el"/>
        </w:rPr>
      </w:pPr>
      <w:r>
        <w:rPr>
          <w:b/>
          <w:bCs/>
          <w:lang w:val="el" w:eastAsia="el"/>
        </w:rPr>
        <w:t>-ΔΙΕΥΘΥΝΣΗ ΥΠΗΡΕΣΙΩΝ ΔΕΔΟΜΕΝΩΝ</w:t>
      </w:r>
    </w:p>
    <w:p>
      <w:pPr>
        <w:spacing w:before="240" w:after="240"/>
        <w:rPr>
          <w:lang w:val="el" w:eastAsia="el"/>
        </w:rPr>
      </w:pPr>
      <w:r>
        <w:rPr>
          <w:b/>
          <w:bCs/>
          <w:lang w:val="el" w:eastAsia="el"/>
        </w:rPr>
        <w:t>Ταχ. Δ/νση Ταχ. Κώδικας Τηλέφωνο Url</w:t>
      </w:r>
    </w:p>
    <w:p>
      <w:pPr>
        <w:spacing w:before="240" w:after="240"/>
        <w:rPr>
          <w:lang w:val="el" w:eastAsia="el"/>
        </w:rPr>
      </w:pPr>
      <w:r>
        <w:rPr>
          <w:b/>
          <w:bCs/>
          <w:lang w:val="el" w:eastAsia="el"/>
        </w:rPr>
        <w:t>Σίνα 2-4</w:t>
      </w:r>
    </w:p>
    <w:p>
      <w:pPr>
        <w:spacing w:before="240" w:after="240"/>
        <w:rPr>
          <w:lang w:val="el" w:eastAsia="el"/>
        </w:rPr>
      </w:pPr>
      <w:r>
        <w:rPr>
          <w:b/>
          <w:bCs/>
          <w:lang w:val="el" w:eastAsia="el"/>
        </w:rPr>
        <w:t>10672 Αθήνα 2132122400</w:t>
      </w:r>
    </w:p>
    <w:p>
      <w:pPr>
        <w:spacing w:before="240" w:after="240"/>
        <w:rPr>
          <w:lang w:val="el" w:eastAsia="el"/>
        </w:rPr>
      </w:pP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Καθορισμός της διαδικασίας υποβολής δήλωσης απόδοσης του τέλους διαμονής παρεπιδημούντων και του τέλους επί των ακαθαρίστων εσόδων των κέντρων διασκέδασης, εστιατορίων και συναφών καταστημάτων της παρ. 1 του άρθρου 1 του ν.339/1976 (Α' 136) καθώς και κάθε αναγκαία λεπτομέρεια για την είσπραξη των εν λόγω τελών.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ΥΠΟΥΡΓΟΙ ΕΘΝΙΚΗΣ ΟΙΚΟΝΟΜΙΑΣ ΚΑΙ ΟΙΚΟΝΟΜΙΚΩΝ - ΕΣΩΤΕΡΙΚΩΝ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ν. 2130/1993 «Τροποποίηση και συμπλήρωση διατάξεων της περιφερειακής διοίκησης, του κώδικα της Ελληνικής ιθαγένειας, του δημοτικού και κοινοτικού κώδικα, των διατάξεων για τις προσόδους των οργανισμών τοπικής αυτοδιοίκησης και άλλες διατάξεις.» (Α’ 62) και ειδικότερα των παρ. 6,7, 9 του άρθρου 17.</w:t>
      </w:r>
    </w:p>
    <w:p>
      <w:pPr>
        <w:pStyle w:val="StructureList1"/>
        <w:spacing w:before="120" w:after="0"/>
        <w:rPr>
          <w:lang w:val="el" w:eastAsia="el"/>
        </w:rPr>
      </w:pPr>
      <w:r>
        <w:rPr>
          <w:lang w:val="el" w:eastAsia="el"/>
        </w:rPr>
        <w:t>β)</w:t>
      </w:r>
      <w:r>
        <w:rPr>
          <w:lang w:val="en" w:eastAsia="en"/>
        </w:rPr>
        <w:tab/>
      </w:r>
      <w:r>
        <w:rPr>
          <w:b/>
          <w:bCs/>
          <w:lang w:val="el" w:eastAsia="el"/>
        </w:rPr>
        <w:t>του άρθρου 1 του ν. 339/1976 «Περί επιβολής υπέρ δήμων και κοινοτήτων τέλους διαμονής παρεπιδημούντων, επί των εκδιδομένων λογαριασμών και επί των λουομένων εις φυσικάς ιαματικάς πηγάς.»(Α' 136).</w:t>
      </w:r>
    </w:p>
    <w:p>
      <w:pPr>
        <w:pStyle w:val="StructureList1"/>
        <w:spacing w:before="120" w:after="0"/>
        <w:rPr>
          <w:lang w:val="el" w:eastAsia="el"/>
        </w:rPr>
      </w:pPr>
      <w:r>
        <w:rPr>
          <w:lang w:val="el" w:eastAsia="el"/>
        </w:rPr>
        <w:t>γ)</w:t>
      </w:r>
      <w:r>
        <w:rPr>
          <w:lang w:val="en" w:eastAsia="en"/>
        </w:rPr>
        <w:tab/>
      </w:r>
      <w:r>
        <w:rPr>
          <w:b/>
          <w:bCs/>
          <w:lang w:val="el" w:eastAsia="el"/>
        </w:rPr>
        <w:t>του άρθρου 6 του ν. 1080/1980 «Περί τροποποιήσεως και συμπληρώσεως διατάξεων τινων της περί των προσόδων των Οργανισμών Τοπικής Αυτοδιοικήσεως Νομοθεσίας και άλλων τινών συναφών διατάξεων.» (Α' 246)</w:t>
      </w:r>
    </w:p>
    <w:p>
      <w:pPr>
        <w:pStyle w:val="StructureList1"/>
        <w:spacing w:before="120" w:after="0"/>
        <w:rPr>
          <w:lang w:val="el" w:eastAsia="el"/>
        </w:rPr>
      </w:pPr>
      <w:r>
        <w:rPr>
          <w:lang w:val="el" w:eastAsia="el"/>
        </w:rPr>
        <w:t>δ)</w:t>
      </w:r>
      <w:r>
        <w:rPr>
          <w:lang w:val="en" w:eastAsia="en"/>
        </w:rPr>
        <w:tab/>
      </w:r>
      <w:r>
        <w:rPr>
          <w:b/>
          <w:bCs/>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b/>
          <w:bCs/>
          <w:lang w:val="el" w:eastAsia="el"/>
        </w:rPr>
        <w:t>ε)του άρθρου 98 του ν. 4270/2014 «Αρχές δημοσιονομικής διαχείρισης και εποπτείας (ενσωμάτωση της Οδηγίας 2011/85/ΕΕ) - δημόσιο λογιστικό και άλλες διατάξεις» (Α’ 143) στ) του άρθρου 82 του ν. 4978/2022 «Κύρωση Κώδικα Είσπραξης Δημοσίων Εσόδων.» (Α΄190)</w:t>
      </w:r>
    </w:p>
    <w:p>
      <w:pPr>
        <w:pStyle w:val="StructureList1"/>
        <w:spacing w:before="120" w:after="0"/>
        <w:rPr>
          <w:lang w:val="el" w:eastAsia="el"/>
        </w:rPr>
      </w:pPr>
      <w:r>
        <w:rPr>
          <w:lang w:val="el" w:eastAsia="el"/>
        </w:rPr>
        <w:t>ζ)</w:t>
      </w:r>
      <w:r>
        <w:rPr>
          <w:lang w:val="en" w:eastAsia="en"/>
        </w:rPr>
        <w:tab/>
      </w:r>
      <w:r>
        <w:rPr>
          <w:b/>
          <w:bCs/>
          <w:lang w:val="el" w:eastAsia="el"/>
        </w:rPr>
        <w:t>του ν.5027/2023 « Σύστημα Καινοτομίας στον δημόσιο τομέα Ρυθμίσεις Γενικής Γραμματείας Ανθρωπίνου Δυναμικού Δημοσίου Τομέα Ρυθμίσεις για τη λειτουργία των Ο.Τ.Α. α’ και β’ βαθμού και των αποκεντρωμένων διοικήσεων και για την ευζωία των ζώων συντροφιάς Λοιπές επείγουσες ρυθμίσεις του Υπουργείου Εσωτερικών και άλλες διατάξεις» (Α’48).</w:t>
      </w:r>
    </w:p>
    <w:p>
      <w:pPr>
        <w:pStyle w:val="StructureList1"/>
        <w:spacing w:before="120" w:after="0"/>
        <w:rPr>
          <w:lang w:val="el" w:eastAsia="el"/>
        </w:rPr>
      </w:pPr>
      <w:r>
        <w:rPr>
          <w:lang w:val="el" w:eastAsia="el"/>
        </w:rPr>
        <w:t>η)</w:t>
      </w:r>
      <w:r>
        <w:rPr>
          <w:lang w:val="en" w:eastAsia="en"/>
        </w:rPr>
        <w:tab/>
      </w:r>
      <w:r>
        <w:rPr>
          <w:b/>
          <w:bCs/>
          <w:lang w:val="el" w:eastAsia="el"/>
        </w:rPr>
        <w:t>Του π.δ. 141/2017 «Οργανισμός του Υπουργείου Εσωτερικών» (Α΄ 180) σε συνδυασμό με το άρθρο 12 του π.δ. 84/2019 «Σύσταση και κατάργηση Γενικών Γραμματειών και Ειδικών Γραμματειών/Ενιαίων Διοικητικών Τομέων Υπουργείων» (Α΄123) και το άρθρο 1 του π.δ. 40/2021 «Μεταφορά υπηρεσιών και αρμοδιοτήτων μεταξύ Υπουργείων και Γενικών Γραμματειών, σύσταση και μετονομασία Γενικών Γραμματειών» (Α΄100)</w:t>
      </w:r>
    </w:p>
    <w:p>
      <w:pPr>
        <w:pStyle w:val="StructureList1"/>
        <w:spacing w:before="120" w:after="0"/>
        <w:rPr>
          <w:lang w:val="el" w:eastAsia="el"/>
        </w:rPr>
      </w:pPr>
      <w:r>
        <w:rPr>
          <w:lang w:val="el" w:eastAsia="el"/>
        </w:rPr>
        <w:t>θ)</w:t>
      </w:r>
      <w:r>
        <w:rPr>
          <w:lang w:val="en" w:eastAsia="en"/>
        </w:rPr>
        <w:tab/>
      </w:r>
      <w:r>
        <w:rPr>
          <w:b/>
          <w:bCs/>
          <w:lang w:val="el" w:eastAsia="el"/>
        </w:rPr>
        <w:t>του π.δ. 142/2017 «Οργανισμός Υπουργείου Οικονομικών» (Α’ 181)</w:t>
      </w:r>
    </w:p>
    <w:p>
      <w:pPr>
        <w:pStyle w:val="StructureList1"/>
        <w:spacing w:before="120" w:after="0"/>
        <w:rPr>
          <w:lang w:val="el" w:eastAsia="el"/>
        </w:rPr>
      </w:pPr>
      <w:r>
        <w:rPr>
          <w:lang w:val="el" w:eastAsia="el"/>
        </w:rPr>
        <w:t>ια)</w:t>
      </w:r>
      <w:r>
        <w:rPr>
          <w:lang w:val="en" w:eastAsia="en"/>
        </w:rPr>
        <w:tab/>
      </w:r>
      <w:r>
        <w:rPr>
          <w:b/>
          <w:bCs/>
          <w:lang w:val="el" w:eastAsia="el"/>
        </w:rPr>
        <w:t>του π.δ. 79/2023 «Διορισμός Υπουργών, Αναπληρωτών Υπουργών και Υφυπουργών» (Α΄131).</w:t>
      </w:r>
    </w:p>
    <w:p>
      <w:pPr>
        <w:spacing w:before="240" w:after="240"/>
        <w:rPr>
          <w:lang w:val="el" w:eastAsia="el"/>
        </w:rPr>
      </w:pPr>
      <w:r>
        <w:rPr>
          <w:b/>
          <w:bCs/>
          <w:lang w:val="el" w:eastAsia="el"/>
        </w:rPr>
        <w:t>ι ) του π.δ. 82/2023 «Μετονομασία Υπουργείου-Σύσταση και μετονομασία Γενικών Γραμματειών-Μεταφορά αρμοδιοτήτων, υπηρεσιακών μονάδων και θέσεων προσωπικου- Τροποποίηση και συμπλήρωση του π.δ. 77/2023 (Α’ 130)-Μεταβατικές διατάξεις» (Α’ 139)</w:t>
      </w:r>
    </w:p>
    <w:p>
      <w:pPr>
        <w:pStyle w:val="StructureList1"/>
        <w:spacing w:before="120" w:after="0"/>
        <w:rPr>
          <w:lang w:val="el" w:eastAsia="el"/>
        </w:rPr>
      </w:pPr>
      <w:r>
        <w:rPr>
          <w:lang w:val="el" w:eastAsia="el"/>
        </w:rPr>
        <w:t>ια)</w:t>
      </w:r>
      <w:r>
        <w:rPr>
          <w:lang w:val="en" w:eastAsia="en"/>
        </w:rPr>
        <w:tab/>
      </w:r>
      <w:r>
        <w:rPr>
          <w:b/>
          <w:bCs/>
          <w:lang w:val="el" w:eastAsia="el"/>
        </w:rPr>
        <w:t>της υπό στοιχεία Υ2/09.07.2019 απόφασης του Πρωθυπουργού «Σύσταση θέσεων Αναπληρωτή Υπουργού και Υφυπουργών» (Β’ 2901)</w:t>
      </w:r>
    </w:p>
    <w:p>
      <w:pPr>
        <w:pStyle w:val="StructureList1"/>
        <w:spacing w:before="120" w:after="0"/>
        <w:rPr>
          <w:lang w:val="el" w:eastAsia="el"/>
        </w:rPr>
      </w:pPr>
      <w:r>
        <w:rPr>
          <w:lang w:val="el" w:eastAsia="el"/>
        </w:rPr>
        <w:t>ιβ)</w:t>
      </w:r>
      <w:r>
        <w:rPr>
          <w:lang w:val="en" w:eastAsia="en"/>
        </w:rPr>
        <w:tab/>
      </w:r>
      <w:r>
        <w:rPr>
          <w:b/>
          <w:bCs/>
          <w:lang w:val="el" w:eastAsia="el"/>
        </w:rPr>
        <w:t>της υπ’ αρ. 102916 ΕΞ 2023/10.7.2023 κοινής απόφασης του Πρωθυπουργού και του Υπουργού Οικονομικών «Ανάθεση αρμοδιοτήτων στον Υφυπουργό Οικονομικών, Θεοχάρη Θεοχάρη (Β' 4441)</w:t>
      </w:r>
    </w:p>
    <w:p>
      <w:pPr>
        <w:pStyle w:val="StructureList1"/>
        <w:spacing w:before="120" w:after="0"/>
        <w:rPr>
          <w:lang w:val="el" w:eastAsia="el"/>
        </w:rPr>
      </w:pPr>
      <w:r>
        <w:rPr>
          <w:lang w:val="el" w:eastAsia="el"/>
        </w:rPr>
        <w:t>ιγ)</w:t>
      </w:r>
      <w:r>
        <w:rPr>
          <w:lang w:val="en" w:eastAsia="en"/>
        </w:rPr>
        <w:tab/>
      </w:r>
      <w:r>
        <w:rPr>
          <w:b/>
          <w:bCs/>
          <w:lang w:val="el" w:eastAsia="el"/>
        </w:rPr>
        <w:t>της υπό στοιχεία Υ11/7.7.2023 απόφασης του Πρωθυπουργού με θέμα «Ανάθεση αρμοδιοτήτων στον Αναπληρωτή Υπουργό Εσωτερικών, Θεόδωρο Λιβάνιο (Β’ 4403)</w:t>
      </w:r>
    </w:p>
    <w:p>
      <w:pPr>
        <w:pStyle w:val="StructureList1"/>
        <w:spacing w:before="120" w:after="0"/>
        <w:rPr>
          <w:lang w:val="el" w:eastAsia="el"/>
        </w:rPr>
      </w:pPr>
      <w:r>
        <w:rPr>
          <w:lang w:val="el" w:eastAsia="el"/>
        </w:rPr>
        <w:t>ιδ)</w:t>
      </w:r>
      <w:r>
        <w:rPr>
          <w:lang w:val="en" w:eastAsia="en"/>
        </w:rPr>
        <w:tab/>
      </w:r>
      <w:r>
        <w:rPr>
          <w:b/>
          <w:bCs/>
          <w:lang w:val="el" w:eastAsia="el"/>
        </w:rPr>
        <w:t>την υπό στοιχεία Δ.ΟΡΓ.Α 1125859 ΕΞ 2020/ 23.10.2020 απόφαση του Διοικητή της Α.Α.Δ.Ε. «Οργανισμός της Ανεξάρτητης Αρχής Δημοσίων Εσόδων (Α.Α.Δ.Ε.) (Β’ 4738)</w:t>
      </w:r>
    </w:p>
    <w:p>
      <w:pPr>
        <w:pStyle w:val="StructureList1"/>
        <w:spacing w:before="120" w:after="0"/>
        <w:rPr>
          <w:lang w:val="el" w:eastAsia="el"/>
        </w:rPr>
      </w:pPr>
      <w:r>
        <w:rPr>
          <w:lang w:val="el" w:eastAsia="el"/>
        </w:rPr>
        <w:t>ιε)</w:t>
      </w:r>
      <w:r>
        <w:rPr>
          <w:lang w:val="en" w:eastAsia="en"/>
        </w:rPr>
        <w:tab/>
      </w:r>
      <w:r>
        <w:rPr>
          <w:b/>
          <w:bCs/>
          <w:lang w:val="el" w:eastAsia="el"/>
        </w:rPr>
        <w:t>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των άρθρ. 14, 37 και του άρθρου 41 αυτού.</w:t>
      </w:r>
    </w:p>
    <w:p>
      <w:pPr>
        <w:spacing w:before="240" w:after="240"/>
        <w:rPr>
          <w:lang w:val="el" w:eastAsia="el"/>
        </w:rPr>
      </w:pPr>
      <w:r>
        <w:rPr>
          <w:lang w:val="el" w:eastAsia="el"/>
        </w:rPr>
        <w:t xml:space="preserve">2.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υπ΄αρ.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3. </w:t>
      </w:r>
      <w:r>
        <w:rPr>
          <w:b/>
          <w:bCs/>
          <w:lang w:val="el" w:eastAsia="el"/>
        </w:rPr>
        <w:t>Του ν. 3852/2010 «Νέα Αρχιτεκτονική της Αυτοδιοίκησης και της Αποκεντρωμένης Διοίκησης - Πρόγραμμα Καλλικράτης» (Α’ 87)</w:t>
      </w:r>
    </w:p>
    <w:p>
      <w:pPr>
        <w:spacing w:before="240" w:after="240"/>
        <w:rPr>
          <w:lang w:val="el" w:eastAsia="el"/>
        </w:rPr>
      </w:pPr>
      <w:r>
        <w:rPr>
          <w:lang w:val="el" w:eastAsia="el"/>
        </w:rPr>
        <w:t xml:space="preserve">4. </w:t>
      </w:r>
      <w:r>
        <w:rPr>
          <w:b/>
          <w:bCs/>
          <w:lang w:val="el" w:eastAsia="el"/>
        </w:rPr>
        <w:t>Την υπ’ αρ. 2/58493/ΔΠΓΚ/31.07.2018 απόφαση του Αναπληρωτή Υπουργού Οικονομικών «Οικονομική και Διοικητική Ταξινόμηση του κρατικού προϋπολογισμού» (Β΄4727).</w:t>
      </w:r>
    </w:p>
    <w:p>
      <w:pPr>
        <w:spacing w:before="240" w:after="240"/>
        <w:rPr>
          <w:lang w:val="el" w:eastAsia="el"/>
        </w:rPr>
      </w:pPr>
      <w:r>
        <w:rPr>
          <w:lang w:val="el" w:eastAsia="el"/>
        </w:rPr>
        <w:t xml:space="preserve">5. </w:t>
      </w:r>
      <w:r>
        <w:rPr>
          <w:b/>
          <w:bCs/>
          <w:lang w:val="el" w:eastAsia="el"/>
        </w:rPr>
        <w:t>Την από 20/12/2023 γνώμη του Διοικητή της ΑΑΔΕ</w:t>
      </w:r>
    </w:p>
    <w:p>
      <w:pPr>
        <w:spacing w:before="240" w:after="240"/>
        <w:rPr>
          <w:lang w:val="el" w:eastAsia="el"/>
        </w:rPr>
      </w:pPr>
      <w:r>
        <w:rPr>
          <w:lang w:val="el" w:eastAsia="el"/>
        </w:rPr>
        <w:t xml:space="preserve">6. </w:t>
      </w:r>
      <w:r>
        <w:rPr>
          <w:b/>
          <w:bCs/>
          <w:lang w:val="el" w:eastAsia="el"/>
        </w:rPr>
        <w:t>Την ανάγκη καθορισμού της διαδικασίας απόδοσης των τελών διαμονής παρεπιδημούντων και τελών επί των ακαθαρίστων εσόδων του αρ. 1 του ν. 339/1976</w:t>
      </w:r>
    </w:p>
    <w:p>
      <w:pPr>
        <w:spacing w:before="240" w:after="240"/>
        <w:rPr>
          <w:lang w:val="el" w:eastAsia="el"/>
        </w:rPr>
      </w:pPr>
      <w:r>
        <w:rPr>
          <w:lang w:val="el" w:eastAsia="el"/>
        </w:rPr>
        <w:t xml:space="preserve">7.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lang w:val="el" w:eastAsia="el"/>
        </w:rPr>
        <w:t xml:space="preserve">1 </w:t>
      </w:r>
      <w:r>
        <w:rPr>
          <w:b/>
          <w:bCs/>
          <w:lang w:val="el" w:eastAsia="el"/>
        </w:rPr>
        <w:t>Καθορίζουμε τον τύπο και το περιεχόμενο της δήλωσης απόδοσης των τελών α) διαμονής παρεπιδημούντων και β) επί των ακαθαρίστων εσόδων της παρ. 1 του άρθρου 1 του ν. 339/1976, όπως το υπόδειγμα που προσαρτάται στην παρούσα και το οποίο αποτελεί αναπόσπαστο τμήμα αυτής, καθώς και τον τρόπο επιβολής, είσπραξης και απόδοσης αυτών.</w:t>
      </w:r>
    </w:p>
    <w:p>
      <w:pPr>
        <w:pStyle w:val="MainText"/>
        <w:spacing w:before="120" w:after="0"/>
        <w:rPr>
          <w:lang w:val="el" w:eastAsia="el"/>
        </w:rPr>
      </w:pPr>
      <w:r>
        <w:rPr>
          <w:b/>
          <w:bCs/>
          <w:lang w:val="el" w:eastAsia="el"/>
        </w:rPr>
        <w:t>2.</w:t>
      </w:r>
      <w:r>
        <w:rPr>
          <w:lang w:val="el" w:eastAsia="el"/>
        </w:rPr>
        <w:t xml:space="preserve"> </w:t>
      </w:r>
      <w:r>
        <w:rPr>
          <w:b/>
          <w:bCs/>
          <w:lang w:val="el" w:eastAsia="el"/>
        </w:rPr>
        <w:t>H δήλωση της παρ. 1 υποβάλλεται ψηφιακά, μέσω της ψηφιακής πύλης «myAADE» (myAADE.gov.gr). Οι υπόχρεοι σε καταβολή τέλους παρεπιδημούντων ή τέλους επί των ακαθάριστων εσόδων, εφόσον υπόκεινται σε Φ.Π.Α., υποβάλλουν τη δήλωση της παρ. 1 κατά τον ίδιο χρόνο που υποβάλλεται η δήλωση Φ.Π.Α. και το δηλωθέν ποσό καταβάλλεται μέσα στην προθεσμία απόδοσης του φόρου αυτού.</w:t>
      </w:r>
    </w:p>
    <w:p>
      <w:pPr>
        <w:spacing w:before="240" w:after="240"/>
        <w:rPr>
          <w:lang w:val="el" w:eastAsia="el"/>
        </w:rPr>
      </w:pPr>
      <w:r>
        <w:rPr>
          <w:b/>
          <w:bCs/>
          <w:lang w:val="el" w:eastAsia="el"/>
        </w:rPr>
        <w:t>Δήμοι που αποφασίζουν την επέκταση εφαρμογής του τέλους 0,5% επί εσόδων και άλλων κατηγοριών επιχειρήσεων, διαμορφώνουν ανάλογα τις σχετικές παραμέτρους στην ψηφιακή εφαρμογή της ΑΑΔΕ. Για μη υπόχρεους σε υποβολή δήλωσης Φ.Π.Α., η δήλωση των τελών υποβάλλεται μέχρι την τελευταία εργάσιμη ημέρα του μήνα που ακολουθεί κάθε ημερολογιακό τρίμηνο, ήτοι μέχρι την τελευταία εργάσιμη ημέρα των μηνών Απριλίου, Ιουλίου, Οκτωβρίου και Ιανουαρίου επομένου έτους.</w:t>
      </w:r>
    </w:p>
    <w:p>
      <w:pPr>
        <w:spacing w:before="240" w:after="240"/>
        <w:rPr>
          <w:lang w:val="el" w:eastAsia="el"/>
        </w:rPr>
      </w:pPr>
      <w:r>
        <w:rPr>
          <w:b/>
          <w:bCs/>
          <w:lang w:val="el" w:eastAsia="el"/>
        </w:rPr>
        <w:t>Δεν υφίσταται υποχρέωση υποβολής μηδενικής δήλωσης.</w:t>
      </w:r>
    </w:p>
    <w:p>
      <w:pPr>
        <w:spacing w:before="240" w:after="240"/>
        <w:rPr>
          <w:lang w:val="el" w:eastAsia="el"/>
        </w:rPr>
      </w:pPr>
      <w:r>
        <w:rPr>
          <w:b/>
          <w:bCs/>
          <w:lang w:val="el" w:eastAsia="el"/>
        </w:rPr>
        <w:t>Στην περίπτωση υποκαταστημάτων σε περισσότερους δήμους τα ακαθάριστα έσοδα / μισθώματα δηλώνονται χωριστά και τα αντίστοιχα ποσά τελών υπολογίζονται ανά δήμο.</w:t>
      </w:r>
    </w:p>
    <w:p>
      <w:pPr>
        <w:spacing w:before="240" w:after="240"/>
        <w:rPr>
          <w:lang w:val="el" w:eastAsia="el"/>
        </w:rPr>
      </w:pPr>
      <w:r>
        <w:rPr>
          <w:b/>
          <w:bCs/>
          <w:lang w:val="el" w:eastAsia="el"/>
        </w:rPr>
        <w:t>Στους υπόχρεους σε δήλωση, οι οποίοι δεν την υπέβαλαν εντός της προθεσμίας, η ΑΑΔΕ κοινοποιεί ειδοποίηση, επισημαίνοντας την υποχρέωσή τους και την επιβολή προσαύξησης για κάθε μήνα καθυστέρησης. Στην ειδοποίηση αναφέρεται επιπλέον, πως δεν υφίσταται υποχρέωση δήλωσης επί μηδενικών εσόδων.</w:t>
      </w:r>
    </w:p>
    <w:p>
      <w:pPr>
        <w:pStyle w:val="MainText"/>
        <w:spacing w:before="120" w:after="0"/>
        <w:rPr>
          <w:lang w:val="el" w:eastAsia="el"/>
        </w:rPr>
      </w:pPr>
      <w:r>
        <w:rPr>
          <w:b/>
          <w:bCs/>
          <w:lang w:val="el" w:eastAsia="el"/>
        </w:rPr>
        <w:t>3.</w:t>
      </w:r>
      <w:r>
        <w:rPr>
          <w:lang w:val="el" w:eastAsia="el"/>
        </w:rPr>
        <w:t xml:space="preserve"> </w:t>
      </w:r>
      <w:r>
        <w:rPr>
          <w:b/>
          <w:bCs/>
          <w:lang w:val="el" w:eastAsia="el"/>
        </w:rPr>
        <w:t>Αρχικές και συμπληρωματικές δηλώσεις υποβάλλονται στην ΑΑΔΕ εφόσον είναι χρεωστικές. Ανακλητικές δηλώσεις υποβάλλονται στους οικείους δήμους, οι οποίοι, για όσες περιπτώσεις δεν έχει καταβληθεί το τέλος, υποχρεούνται να συντάξουν απόφαση διαγραφής και να την αποστείλουν στη Δ.Ο.Υ που είναι αρμόδια για τη φορολογία εισοδήματος του υπόχρεου. Ως προς τα θέματα παραγραφής ισχύουν οι διατάξεις του άρθρου 166Α του ν. 3463/2006.</w:t>
      </w:r>
    </w:p>
    <w:p>
      <w:pPr>
        <w:pStyle w:val="MainText"/>
        <w:spacing w:before="120" w:after="0"/>
        <w:rPr>
          <w:lang w:val="el" w:eastAsia="el"/>
        </w:rPr>
      </w:pPr>
      <w:r>
        <w:rPr>
          <w:b/>
          <w:bCs/>
          <w:lang w:val="el" w:eastAsia="el"/>
        </w:rPr>
        <w:t>4.</w:t>
      </w:r>
      <w:r>
        <w:rPr>
          <w:lang w:val="el" w:eastAsia="el"/>
        </w:rPr>
        <w:t xml:space="preserve"> </w:t>
      </w:r>
      <w:r>
        <w:rPr>
          <w:b/>
          <w:bCs/>
          <w:lang w:val="el" w:eastAsia="el"/>
        </w:rPr>
        <w:t>Σε περίπτωση αποδεδειγμένης αδυναμίας λειτουργίας της ηλεκτρονικής εφαρμογής, η δήλωση υποβάλλεται ψηφιακά μέσω της εφαρμογής «Τα Αιτήματά μου», στη Δ.Ο.Υ που είναι αρμόδια για τη φορολογία εισοδήματος του υπόχρεου.</w:t>
      </w:r>
    </w:p>
    <w:p>
      <w:pPr>
        <w:pStyle w:val="MainText"/>
        <w:spacing w:before="120" w:after="0"/>
        <w:rPr>
          <w:lang w:val="el" w:eastAsia="el"/>
        </w:rPr>
      </w:pPr>
      <w:r>
        <w:rPr>
          <w:b/>
          <w:bCs/>
          <w:lang w:val="el" w:eastAsia="el"/>
        </w:rPr>
        <w:t>5.</w:t>
      </w:r>
      <w:r>
        <w:rPr>
          <w:lang w:val="el" w:eastAsia="el"/>
        </w:rPr>
        <w:t xml:space="preserve"> </w:t>
      </w:r>
      <w:r>
        <w:rPr>
          <w:b/>
          <w:bCs/>
          <w:lang w:val="el" w:eastAsia="el"/>
        </w:rPr>
        <w:t>Για την είσπραξη του τέλους εκδίδεται Ταυτότητα Οφειλής (εφεξής «Τ.Ο.»). Το τέλος διαμονής παρεπιδημούντων και το τέλος των ακαθαρίστων εσόδων καταβάλλονται εφάπαξ μετά την υποβολή της δήλωσης και το αργότερο μέχρι την εκπνοή της προθεσμίας υποβολής της.</w:t>
      </w:r>
    </w:p>
    <w:p>
      <w:pPr>
        <w:pStyle w:val="MainText"/>
        <w:spacing w:before="120" w:after="0"/>
        <w:rPr>
          <w:lang w:val="el" w:eastAsia="el"/>
        </w:rPr>
      </w:pPr>
      <w:r>
        <w:rPr>
          <w:b/>
          <w:bCs/>
          <w:lang w:val="el" w:eastAsia="el"/>
        </w:rPr>
        <w:t>6.</w:t>
      </w:r>
      <w:r>
        <w:rPr>
          <w:lang w:val="el" w:eastAsia="el"/>
        </w:rPr>
        <w:t xml:space="preserve"> </w:t>
      </w:r>
      <w:r>
        <w:rPr>
          <w:b/>
          <w:bCs/>
          <w:lang w:val="el" w:eastAsia="el"/>
        </w:rPr>
        <w:t>Σε περίπτωση εκπροθέσμου δηλώσεως ή μη καταβολής των τελών, επιβάλλεται εις βάρος του υπόχρεου, αντί του τόκου εκπροθέσμου καταβολής του άρθρου 6 του Κ.Ε.Δ.Ε. και του προστίμου των άρθρων 6 και 7 ν.1080/1980, προσαύξηση ίση με δύο επί τοις εκατό (2%) επί του τέλους που δεν καταβλήθηκε για κάθε μήνα καθυστερήσεως, μη δυνάμενη να υπερβεί το εκατό τοις εκατό (100%) του οφειλόμενου κάθε φορά χρέους.</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w:t>
      </w:r>
      <w:r>
        <w:rPr>
          <w:b/>
          <w:bCs/>
          <w:lang w:val="el" w:eastAsia="el"/>
        </w:rPr>
        <w:t>Τα έσοδα των τελών αποδίδονται στους δήμους, εντός μηνός από το τέλος του μήνα της είσπραξής τους, με τη διαδικασία της απόδοσης των λοιπών εσόδων που εισπράττονται υπέρ τρίτων, σύμφωνα με την κείμενη νομοθεσία. Από το ποσό που εισπράττεται υπέρ των ανωτέρω παρακρατείται ως δαπάνη βεβαίωσης και είσπραξης ποσοστό 20%, κατά παρέκκλιση κάθε άλλης γενικής η ειδικής διάταξης και αποδίδεται στον ΑΛΕ 1440103001 του Κρατικού Προϋπολογισμού.</w:t>
      </w:r>
    </w:p>
    <w:p>
      <w:pPr>
        <w:spacing w:before="240" w:after="240"/>
        <w:rPr>
          <w:lang w:val="el" w:eastAsia="el"/>
        </w:rPr>
      </w:pPr>
      <w:r>
        <w:rPr>
          <w:b/>
          <w:bCs/>
          <w:lang w:val="el" w:eastAsia="el"/>
        </w:rPr>
        <w:t>Η ΑΑΔΕ υποχρεούται να ενημερώνει το Υπουργείο Εσωτερικών ή τους δικαιούχους δήμους κατά λόγο αρμοδιότητας, επί όλων των στοιχείων που αναγράφονται στα συνημμένα υποδείγματα, μέσω διαλειτουργικότητας. Τα στοιχεία για τα οποία ενημερώνονται μέσω διαλειτουργικότητας οι δήμοι, αφορούν τις επιχειρήσεις με Κωδικό Αριθμό Δραστηριότητας (ΚΑΔ) υπαγόμενο στην παρ.1 του αρ.1 του ν.339/1976 (Α΄136) που δεν υπέβαλαν καθόλου δήλωση και τις επιχειρήσεις που ήταν υπόχρεες και υπέβαλαν δήλωση εκπρόθεσμα, καθώς και ιστορικό εμπρόθεσμων δηλώσεων, ανά Δήμο και ΑΦΜ επιχείρησης.</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Τα οφειλόμενα τέλη παρεπιδημούντων και επί ακαθάριστων εσόδων που αφορούν το έτος 2022 περιλαμβάνονται σε μία δήλωση και καταβάλλονται εμπρόθεσμα στο σύνολό τους έως και την τελευταία εργάσιμη για το Δημόσιο ημέρα του Ιανουαρίου 2024.Τα τέλη παρεπιδημούντων και επί ακαθάριστων εσόδων που αφορούν το έτος 2023, περιλαμβάνονται στις δηλώσεις των αντίστοιχων φορολογικών περιόδων, οι οποίες υποβάλλονται εμπρόθεσμα έως και την τελευταία εργάσιμη για το Δημόσιο ημέρα του Ιανουαρίου 2024. Τα οφειλόμενα ανωτέρω ποσά για το έτος 2023 καταβάλλονται εμπρόθεσμα έως και την ίδια ως άνω ημερομηνία.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lang w:val="el" w:eastAsia="el"/>
        </w:rPr>
        <w:t xml:space="preserve">1 </w:t>
      </w:r>
      <w:r>
        <w:rPr>
          <w:b/>
          <w:bCs/>
          <w:lang w:val="el" w:eastAsia="el"/>
        </w:rPr>
        <w:t>. Η ισχύς της παρούσας αρχίζει από την δημοσίευσή της στην Εφημερίδα της Κυβερνήσεως.</w:t>
      </w:r>
    </w:p>
    <w:p>
      <w:pPr>
        <w:spacing w:before="240" w:after="240"/>
        <w:rPr>
          <w:lang w:val="el" w:eastAsia="el"/>
        </w:rPr>
      </w:pPr>
      <w:r>
        <w:rPr>
          <w:lang w:val="el" w:eastAsia="el"/>
        </w:rPr>
        <w:t xml:space="preserve">2 </w:t>
      </w:r>
      <w:r>
        <w:rPr>
          <w:b/>
          <w:bCs/>
          <w:lang w:val="el" w:eastAsia="el"/>
        </w:rPr>
        <w:t>.Η παρούσα απόφαση αυτή να δημοσιευθεί στην Εφημερίδα της Κυβερνήσεως.</w:t>
      </w:r>
    </w:p>
    <w:p>
      <w:pPr>
        <w:spacing w:before="240" w:after="240"/>
        <w:rPr>
          <w:lang w:val="el" w:eastAsia="el"/>
        </w:rPr>
      </w:pPr>
      <w:r>
        <w:rPr>
          <w:b/>
          <w:bCs/>
          <w:lang w:val="el" w:eastAsia="el"/>
        </w:rPr>
        <w:t>Ο ΥΦΥΠΟΥΡΓΟΣ ΕΘΝΙΚΗΣ</w:t>
      </w:r>
    </w:p>
    <w:p>
      <w:pPr>
        <w:spacing w:before="240" w:after="240"/>
        <w:rPr>
          <w:lang w:val="el" w:eastAsia="el"/>
        </w:rPr>
      </w:pPr>
      <w:r>
        <w:rPr>
          <w:b/>
          <w:bCs/>
          <w:lang w:val="el" w:eastAsia="el"/>
        </w:rPr>
        <w:t>Ο ΑΝΑΠΛΗΡΩΤΗΣ ΥΠΟΥΡΓΟΣ</w:t>
      </w:r>
    </w:p>
    <w:p>
      <w:pPr>
        <w:spacing w:before="240" w:after="240"/>
        <w:rPr>
          <w:lang w:val="el" w:eastAsia="el"/>
        </w:rPr>
      </w:pPr>
      <w:r>
        <w:rPr>
          <w:b/>
          <w:bCs/>
          <w:lang w:val="el" w:eastAsia="el"/>
        </w:rPr>
        <w:t>ΟΙΚΟΝΟΜΙΑΣ ΚΑΙ ΟΙΚΟΝΟΜΙΚΩΝ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ΘΕΟΔΩΡΟΣ ΛΙΒΑΝΙΟΣ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I.ΑΠΟΔΕΚΤΕΣ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(πλην των αποδεκτών προς ενέργεια και εσωτερικής διανομής)</w:t>
      </w:r>
    </w:p>
    <w:p>
      <w:pPr>
        <w:spacing w:before="240" w:after="240"/>
        <w:rPr>
          <w:lang w:val="el" w:eastAsia="el"/>
        </w:rPr>
      </w:pPr>
      <w:r>
        <w:rPr>
          <w:lang w:val="el" w:eastAsia="el"/>
        </w:rPr>
        <w:t xml:space="preserve">2 </w:t>
      </w:r>
      <w:r>
        <w:rPr>
          <w:b/>
          <w:bCs/>
          <w:lang w:val="el" w:eastAsia="el"/>
        </w:rPr>
        <w:t>. Αποδέκτες Πίνακα Δ΄</w:t>
      </w:r>
    </w:p>
    <w:p>
      <w:pPr>
        <w:spacing w:before="240" w:after="240"/>
        <w:rPr>
          <w:lang w:val="el" w:eastAsia="el"/>
        </w:rPr>
      </w:pPr>
      <w:r>
        <w:rPr>
          <w:lang w:val="el" w:eastAsia="el"/>
        </w:rPr>
        <w:t xml:space="preserve">3 </w:t>
      </w:r>
      <w:r>
        <w:rPr>
          <w:b/>
          <w:bCs/>
          <w:lang w:val="el" w:eastAsia="el"/>
        </w:rPr>
        <w:t>.Γραφείο Υπουργού Οικονομικών</w:t>
      </w:r>
    </w:p>
    <w:p>
      <w:pPr>
        <w:spacing w:before="240" w:after="240"/>
        <w:rPr>
          <w:lang w:val="el" w:eastAsia="el"/>
        </w:rPr>
      </w:pPr>
      <w:r>
        <w:rPr>
          <w:lang w:val="el" w:eastAsia="el"/>
        </w:rPr>
        <w:t xml:space="preserve">4 </w:t>
      </w:r>
      <w:r>
        <w:rPr>
          <w:b/>
          <w:bCs/>
          <w:lang w:val="el" w:eastAsia="el"/>
        </w:rPr>
        <w:t>.Γραφείο Υφυπουργού Οικονομικών κ. Θεοχάρη</w:t>
      </w:r>
    </w:p>
    <w:p>
      <w:pPr>
        <w:spacing w:before="240" w:after="240"/>
        <w:rPr>
          <w:lang w:val="el" w:eastAsia="el"/>
        </w:rPr>
      </w:pPr>
      <w:r>
        <w:rPr>
          <w:lang w:val="el" w:eastAsia="el"/>
        </w:rPr>
        <w:t xml:space="preserve">5 </w:t>
      </w:r>
      <w:r>
        <w:rPr>
          <w:b/>
          <w:bCs/>
          <w:lang w:val="el" w:eastAsia="el"/>
        </w:rPr>
        <w:t>.Υπουργείο Εσωτερικών</w:t>
      </w:r>
    </w:p>
    <w:p>
      <w:pPr>
        <w:spacing w:before="240" w:after="240"/>
        <w:rPr>
          <w:lang w:val="el" w:eastAsia="el"/>
        </w:rPr>
      </w:pPr>
      <w:r>
        <w:rPr>
          <w:b/>
          <w:bCs/>
          <w:lang w:val="el" w:eastAsia="el"/>
        </w:rPr>
        <w:t>α. Γραφείο Υπουργού</w:t>
      </w:r>
    </w:p>
    <w:p>
      <w:pPr>
        <w:spacing w:before="240" w:after="240"/>
        <w:rPr>
          <w:lang w:val="el" w:eastAsia="el"/>
        </w:rPr>
      </w:pPr>
      <w:r>
        <w:rPr>
          <w:b/>
          <w:bCs/>
          <w:lang w:val="el" w:eastAsia="el"/>
        </w:rPr>
        <w:t>β. Γραφείο Υφυπουργού</w:t>
      </w:r>
    </w:p>
    <w:p>
      <w:pPr>
        <w:spacing w:before="240" w:after="240"/>
        <w:rPr>
          <w:lang w:val="el" w:eastAsia="el"/>
        </w:rPr>
      </w:pPr>
      <w:r>
        <w:rPr>
          <w:lang w:val="el" w:eastAsia="el"/>
        </w:rPr>
        <w:t xml:space="preserve">10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lang w:val="el" w:eastAsia="el"/>
        </w:rPr>
        <w:t xml:space="preserve">11 </w:t>
      </w:r>
      <w:r>
        <w:rPr>
          <w:b/>
          <w:bCs/>
          <w:lang w:val="el" w:eastAsia="el"/>
        </w:rPr>
        <w:t>.Γραφείο Τύπου και Δημοσίων Σχέσεων</w:t>
      </w:r>
    </w:p>
    <w:p>
      <w:pPr>
        <w:spacing w:before="240" w:after="240"/>
        <w:rPr>
          <w:lang w:val="el" w:eastAsia="el"/>
        </w:rPr>
      </w:pPr>
      <w:r>
        <w:rPr>
          <w:lang w:val="el" w:eastAsia="el"/>
        </w:rPr>
        <w:t xml:space="preserve">12 </w:t>
      </w:r>
      <w:r>
        <w:rPr>
          <w:b/>
          <w:bCs/>
          <w:lang w:val="el" w:eastAsia="el"/>
        </w:rPr>
        <w:t>.Περιοδικό Φορολογική Επιθεώρηση»</w:t>
      </w:r>
    </w:p>
    <w:p>
      <w:pPr>
        <w:spacing w:before="240" w:after="240"/>
        <w:rPr>
          <w:lang w:val="el" w:eastAsia="el"/>
        </w:rPr>
      </w:pPr>
      <w:r>
        <w:rPr>
          <w:lang w:val="el" w:eastAsia="el"/>
        </w:rPr>
        <w:t xml:space="preserve">III </w:t>
      </w:r>
      <w:r>
        <w:rPr>
          <w:b/>
          <w:bCs/>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Γεν. Διευθυντή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Γενική Δ/νση Ηλεκτρονικής Διακυβέρνησης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Δ/νση Νομικής Υποστήριξης ΑΑΔΕ</w:t>
      </w:r>
    </w:p>
    <w:p>
      <w:pPr>
        <w:pStyle w:val="MainText"/>
        <w:spacing w:before="120" w:after="0"/>
        <w:rPr>
          <w:lang w:val="el" w:eastAsia="el"/>
        </w:rPr>
      </w:pPr>
      <w:r>
        <w:rPr>
          <w:b/>
          <w:bCs/>
          <w:lang w:val="el" w:eastAsia="el"/>
        </w:rPr>
        <w:t>5.</w:t>
      </w:r>
      <w:r>
        <w:rPr>
          <w:lang w:val="el" w:eastAsia="el"/>
        </w:rPr>
        <w:t xml:space="preserve"> </w:t>
      </w:r>
      <w:r>
        <w:rPr>
          <w:b/>
          <w:bCs/>
          <w:lang w:val="el" w:eastAsia="el"/>
        </w:rPr>
        <w:t>Όλες οι Φορολογικές Περιφέρειες</w:t>
      </w:r>
    </w:p>
    <w:p>
      <w:pPr>
        <w:pStyle w:val="MainText"/>
        <w:spacing w:before="120" w:after="0"/>
        <w:rPr>
          <w:lang w:val="el" w:eastAsia="el"/>
        </w:rPr>
      </w:pPr>
      <w:r>
        <w:rPr>
          <w:b/>
          <w:bCs/>
          <w:lang w:val="el" w:eastAsia="el"/>
        </w:rPr>
        <w:t>6.</w:t>
      </w:r>
      <w:r>
        <w:rPr>
          <w:lang w:val="el" w:eastAsia="el"/>
        </w:rPr>
        <w:t xml:space="preserve"> </w:t>
      </w:r>
      <w:r>
        <w:rPr>
          <w:b/>
          <w:bCs/>
          <w:lang w:val="el" w:eastAsia="el"/>
        </w:rPr>
        <w:t>Ηλεκτρονική βιβλιοθήκη ΑΑΔΕ</w:t>
      </w:r>
    </w:p>
    <w:p>
      <w:pPr>
        <w:pStyle w:val="MainText"/>
        <w:spacing w:before="120" w:after="0"/>
        <w:rPr>
          <w:lang w:val="el" w:eastAsia="el"/>
        </w:rPr>
      </w:pPr>
      <w:r>
        <w:rPr>
          <w:b/>
          <w:bCs/>
          <w:lang w:val="el" w:eastAsia="el"/>
        </w:rPr>
        <w:t>7.</w:t>
      </w:r>
      <w:r>
        <w:rPr>
          <w:lang w:val="el" w:eastAsia="el"/>
        </w:rPr>
        <w:t xml:space="preserve"> </w:t>
      </w:r>
      <w:r>
        <w:rPr>
          <w:b/>
          <w:bCs/>
          <w:lang w:val="el" w:eastAsia="el"/>
        </w:rPr>
        <w:t>Δ/νση Εφαρμογής Έμμεσης Φορολογίας</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ΑΑΔΕ</w:t>
      </w:r>
    </w:p>
    <w:p>
      <w:pPr>
        <w:spacing w:before="240" w:after="240"/>
        <w:rPr>
          <w:lang w:val="el" w:eastAsia="el"/>
        </w:rPr>
      </w:pPr>
      <w:r>
        <w:rPr>
          <w:b/>
          <w:bCs/>
          <w:lang w:val="el" w:eastAsia="el"/>
        </w:rPr>
        <w:t>Ανεξάρτητη Αρχή Δημοσίων Εσόδων</w:t>
      </w:r>
    </w:p>
    <w:p>
      <w:pPr>
        <w:spacing w:before="240" w:after="240"/>
        <w:rPr>
          <w:lang w:val="el" w:eastAsia="el"/>
        </w:rPr>
      </w:pPr>
      <w:r>
        <w:rPr>
          <w:b/>
          <w:bCs/>
          <w:lang w:val="el" w:eastAsia="el"/>
        </w:rPr>
        <w:t>ΦΟΡΟΛΟΓΙΚΟ ΕΤΟΣ: ………………….</w:t>
      </w:r>
    </w:p>
    <w:p>
      <w:pPr>
        <w:spacing w:before="240" w:after="240"/>
        <w:rPr>
          <w:lang w:val="el" w:eastAsia="el"/>
        </w:rPr>
      </w:pPr>
      <w:r>
        <w:rPr>
          <w:b/>
          <w:bCs/>
          <w:lang w:val="el" w:eastAsia="el"/>
        </w:rPr>
        <w:t>ΑΡ. ΦΑΚ: …………………………………..</w:t>
      </w:r>
    </w:p>
    <w:p>
      <w:pPr>
        <w:spacing w:before="240" w:after="240"/>
        <w:rPr>
          <w:lang w:val="el" w:eastAsia="el"/>
        </w:rPr>
      </w:pPr>
      <w:r>
        <w:rPr>
          <w:b/>
          <w:bCs/>
          <w:lang w:val="el" w:eastAsia="el"/>
        </w:rPr>
        <w:t>ΑΡΙΘ. ΔΗΛ: ………………………………..</w:t>
      </w:r>
    </w:p>
    <w:p>
      <w:pPr>
        <w:spacing w:before="240" w:after="240"/>
        <w:rPr>
          <w:lang w:val="el" w:eastAsia="el"/>
        </w:rPr>
      </w:pPr>
      <w:r>
        <w:rPr>
          <w:b/>
          <w:bCs/>
          <w:lang w:val="el" w:eastAsia="el"/>
        </w:rPr>
        <w:t>ΗΜ/ΝΙΑ ΥΠΟΒ.ΔΗΛ ………………….</w:t>
      </w:r>
    </w:p>
    <w:p>
      <w:pPr>
        <w:spacing w:before="240" w:after="240"/>
        <w:rPr>
          <w:lang w:val="el" w:eastAsia="el"/>
        </w:rPr>
      </w:pPr>
      <w:r>
        <w:rPr>
          <w:b/>
          <w:bCs/>
          <w:lang w:val="el" w:eastAsia="el"/>
        </w:rPr>
        <w:t>ΜΗΝΑΣ…………………………. Η’</w:t>
      </w:r>
    </w:p>
    <w:p>
      <w:pPr>
        <w:spacing w:before="240" w:after="240"/>
        <w:rPr>
          <w:lang w:val="el" w:eastAsia="el"/>
        </w:rPr>
      </w:pPr>
      <w:r>
        <w:rPr>
          <w:b/>
          <w:bCs/>
          <w:lang w:val="el" w:eastAsia="el"/>
        </w:rPr>
        <w:t>ΤΡΙΜΗΝΟ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7"/>
        <w:gridCol w:w="717"/>
        <w:gridCol w:w="717"/>
        <w:gridCol w:w="7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r>
              <w:rPr>
                <w:b/>
                <w:bCs/>
                <w:i w:val="0"/>
                <w:iCs w:val="0"/>
                <w:smallCaps w:val="0"/>
                <w:color w:val="000000"/>
                <w:sz w:val="30"/>
                <w:szCs w:val="30"/>
                <w:vertAlign w:val="superscript"/>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r>
              <w:rPr>
                <w:b/>
                <w:bCs/>
                <w:i w:val="0"/>
                <w:iCs w:val="0"/>
                <w:smallCaps w:val="0"/>
                <w:color w:val="000000"/>
                <w:sz w:val="30"/>
                <w:szCs w:val="30"/>
                <w:vertAlign w:val="superscript"/>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r>
              <w:rPr>
                <w:b/>
                <w:bCs/>
                <w:i w:val="0"/>
                <w:iCs w:val="0"/>
                <w:smallCaps w:val="0"/>
                <w:color w:val="000000"/>
                <w:sz w:val="30"/>
                <w:szCs w:val="30"/>
                <w:vertAlign w:val="superscript"/>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r>
              <w:rPr>
                <w:b/>
                <w:bCs/>
                <w:i w:val="0"/>
                <w:iCs w:val="0"/>
                <w:smallCaps w:val="0"/>
                <w:color w:val="000000"/>
                <w:sz w:val="30"/>
                <w:szCs w:val="30"/>
                <w:vertAlign w:val="superscript"/>
                <w:lang w:val="el" w:eastAsia="el"/>
              </w:rPr>
              <w:t>Ο</w:t>
            </w:r>
          </w:p>
        </w:tc>
      </w:tr>
    </w:tbl>
    <w:p>
      <w:pPr>
        <w:spacing w:before="240" w:after="240"/>
        <w:rPr>
          <w:lang w:val="el" w:eastAsia="el"/>
        </w:rPr>
      </w:pPr>
      <w:r>
        <w:rPr>
          <w:b/>
          <w:bCs/>
          <w:lang w:val="el" w:eastAsia="el"/>
        </w:rPr>
        <w:t>Δ Η Λ Ω Σ Η</w:t>
      </w:r>
    </w:p>
    <w:p>
      <w:pPr>
        <w:spacing w:before="240" w:after="240"/>
        <w:rPr>
          <w:lang w:val="el" w:eastAsia="el"/>
        </w:rPr>
      </w:pPr>
      <w:r>
        <w:rPr>
          <w:b/>
          <w:bCs/>
          <w:lang w:val="el" w:eastAsia="el"/>
        </w:rPr>
        <w:t>ΑΠΟΔΟΣΗΣ ΤΕΛΟΥΣ ΔΙΑΜΟΝΗΣ ΠΑΡΕΠΙΔΗΜΟΥΝΤΩΝ ΚΑΙ ΤΕΛΟΥΣ ΕΠΙ ΤΩΝ ΑΚΑΘΑΡΙΣΤΩΝ</w:t>
      </w:r>
    </w:p>
    <w:p>
      <w:pPr>
        <w:spacing w:before="240" w:after="240"/>
        <w:rPr>
          <w:lang w:val="el" w:eastAsia="el"/>
        </w:rPr>
      </w:pPr>
      <w:r>
        <w:rPr>
          <w:b/>
          <w:bCs/>
          <w:lang w:val="el" w:eastAsia="el"/>
        </w:rPr>
        <w:t>ΕΣΟΔΩΝ</w:t>
      </w:r>
    </w:p>
    <w:p>
      <w:pPr>
        <w:spacing w:before="240" w:after="240"/>
        <w:rPr>
          <w:lang w:val="el" w:eastAsia="el"/>
        </w:rPr>
      </w:pPr>
      <w:r>
        <w:rPr>
          <w:b/>
          <w:bCs/>
          <w:lang w:val="el" w:eastAsia="el"/>
        </w:rPr>
        <w:t>ΠΑΡ.1 ΑΡ. 1 Ν. 339/1976 (Α΄ 136)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3"/>
        <w:gridCol w:w="5061"/>
        <w:gridCol w:w="234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ΥΠΟΧΡΕΟΥ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ΠΑΤΕΡΑ: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ΜΟΡΦΗ ΕΠΙΧ/ΣΗΣ (ΟΕ,ΕΕ,ΕΠΕ,ΑΕ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ΔΙΕΥΘΥΝΣΗ/ΕΔΡΑ (οδός, αριθμός, τκ, 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3"/>
        <w:gridCol w:w="1772"/>
        <w:gridCol w:w="269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ΝΟΜΙΜΟΥ ΕΚΠΡΟΣΩΠΟΥ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 Ή 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ΠΑΤΕΡΑ: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ΔΙΕΥΘΥΝΣΗ/ΕΔΡΑ (οδός, αριθμός, τκ, 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w:t>
            </w:r>
          </w:p>
        </w:tc>
      </w:tr>
    </w:tbl>
    <w:p>
      <w:pPr>
        <w:spacing w:before="240" w:after="240"/>
        <w:rPr>
          <w:lang w:val="el" w:eastAsia="el"/>
        </w:rPr>
      </w:pPr>
      <w:r>
        <w:rPr>
          <w:b/>
          <w:bCs/>
          <w:lang w:val="el" w:eastAsia="el"/>
        </w:rPr>
        <w:t>Δήμος*:…………………….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78"/>
        <w:gridCol w:w="2662"/>
        <w:gridCol w:w="2069"/>
        <w:gridCol w:w="19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Είδος Καταστήματο </w:t>
            </w:r>
            <w:r>
              <w:rPr>
                <w:b/>
                <w:bCs/>
                <w:i w:val="0"/>
                <w:iCs w:val="0"/>
                <w:smallCaps w:val="0"/>
                <w:color w:val="000000"/>
                <w:sz w:val="30"/>
                <w:szCs w:val="30"/>
                <w:vertAlign w:val="superscript"/>
                <w:lang w:val="el" w:eastAsia="el"/>
              </w:rPr>
              <w:t xml:space="preserve">ς </w:t>
            </w:r>
            <w:r>
              <w:rPr>
                <w:b/>
                <w:bCs/>
                <w:i w:val="0"/>
                <w:iCs w:val="0"/>
                <w:smallCaps w:val="0"/>
                <w:color w:val="000000"/>
                <w:lang w:val="el" w:eastAsia="el"/>
              </w:rPr>
              <w:t>/επιχείρησης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Μισθώματα/ ακαθάριστα έσοδα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τέλους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Οφειλόμενο τέλος (1)x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Δήμος:………………….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53"/>
        <w:gridCol w:w="2030"/>
        <w:gridCol w:w="2072"/>
        <w:gridCol w:w="19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Μισθώματα/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Οφειλόμενο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71"/>
        <w:gridCol w:w="2831"/>
        <w:gridCol w:w="1439"/>
        <w:gridCol w:w="14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Καταστήματο </w:t>
            </w:r>
            <w:r>
              <w:rPr>
                <w:b/>
                <w:bCs/>
                <w:i w:val="0"/>
                <w:iCs w:val="0"/>
                <w:smallCaps w:val="0"/>
                <w:color w:val="000000"/>
                <w:sz w:val="30"/>
                <w:szCs w:val="30"/>
                <w:vertAlign w:val="superscript"/>
                <w:lang w:val="el" w:eastAsia="el"/>
              </w:rPr>
              <w:t xml:space="preserve">ς </w:t>
            </w:r>
            <w:r>
              <w:rPr>
                <w:b/>
                <w:bCs/>
                <w:i w:val="0"/>
                <w:iCs w:val="0"/>
                <w:smallCaps w:val="0"/>
                <w:color w:val="000000"/>
                <w:lang w:val="el" w:eastAsia="el"/>
              </w:rPr>
              <w:t>/επιχείρησης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ακαθάριστα έσοδα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τέλους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τέλος (1)x</w:t>
            </w:r>
          </w:p>
          <w:p>
            <w:pPr>
              <w:spacing w:before="240"/>
              <w:rPr>
                <w:b w:val="0"/>
                <w:bCs w:val="0"/>
                <w:i w:val="0"/>
                <w:iCs w:val="0"/>
                <w:smallCaps w:val="0"/>
                <w:color w:val="000000"/>
                <w:lang w:val="el" w:eastAsia="el"/>
              </w:rPr>
            </w:pPr>
            <w:r>
              <w:rPr>
                <w:b/>
                <w:bCs/>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Γενικό Σύνολο: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13"/>
        <w:gridCol w:w="2005"/>
        <w:gridCol w:w="23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ΔΗΛΩΝ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ΛΟΓΙΣΤΗΣ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ΠΑΡΑΛΑΒΩΝ</w:t>
            </w:r>
          </w:p>
        </w:tc>
      </w:tr>
    </w:tbl>
    <w:p>
      <w:pPr>
        <w:spacing w:before="240" w:after="240"/>
        <w:rPr>
          <w:lang w:val="el" w:eastAsia="el"/>
        </w:rPr>
      </w:pPr>
      <w:r>
        <w:rPr>
          <w:b/>
          <w:bCs/>
          <w:lang w:val="el" w:eastAsia="el"/>
        </w:rPr>
        <w:t>*Η δήλωση υποβάλλεται ανά Δήμο συγκεντρωτικά για όλα τα είδη επιχειρήσεων (βάσει είδους καταστήματος/επιχείρησης).</w:t>
      </w:r>
    </w:p>
    <w:p>
      <w:pPr>
        <w:spacing w:before="240" w:after="240"/>
        <w:rPr>
          <w:lang w:val="el" w:eastAsia="el"/>
        </w:rPr>
      </w:pPr>
      <w:r>
        <w:rPr>
          <w:b/>
          <w:bCs/>
          <w:lang w:val="el" w:eastAsia="el"/>
        </w:rPr>
        <w:t>Εφόσον υφίστανται υποκαταστήματα ίδιας επιχείρησης σε διαφορετικούς Δήμους συμπληρώνονται τα στοιχεία του πίνακα ανά Δήμο.</w:t>
      </w:r>
    </w:p>
    <w:p>
      <w:pPr>
        <w:spacing w:before="240" w:after="240"/>
        <w:rPr>
          <w:lang w:val="el" w:eastAsia="el"/>
        </w:rPr>
      </w:pPr>
      <w:r>
        <w:rPr>
          <w:b/>
          <w:bCs/>
          <w:lang w:val="el" w:eastAsia="el"/>
        </w:rPr>
        <w:t>** Συντελεστής τέλους διαμονής παρεπιδημούντων:</w:t>
      </w:r>
    </w:p>
    <w:p>
      <w:pPr>
        <w:spacing w:before="240" w:after="240"/>
        <w:rPr>
          <w:lang w:val="el" w:eastAsia="el"/>
        </w:rPr>
      </w:pPr>
      <w:r>
        <w:rPr>
          <w:b/>
          <w:bCs/>
          <w:lang w:val="el" w:eastAsia="el"/>
        </w:rPr>
        <w:t>0,5%</w:t>
      </w:r>
    </w:p>
    <w:p>
      <w:pPr>
        <w:spacing w:before="240" w:after="240"/>
        <w:rPr>
          <w:lang w:val="el" w:eastAsia="el"/>
        </w:rPr>
      </w:pPr>
      <w:r>
        <w:rPr>
          <w:b/>
          <w:bCs/>
          <w:lang w:val="el" w:eastAsia="el"/>
        </w:rPr>
        <w:t>Συντελεστής ακαθαρίστων εσόδων:</w:t>
      </w:r>
    </w:p>
    <w:p>
      <w:pPr>
        <w:spacing w:before="240" w:after="240"/>
        <w:rPr>
          <w:lang w:val="el" w:eastAsia="el"/>
        </w:rPr>
      </w:pPr>
      <w:r>
        <w:rPr>
          <w:b/>
          <w:bCs/>
          <w:lang w:val="el" w:eastAsia="el"/>
        </w:rPr>
        <w:t>0,5% από 1-1-2023 για όλα πλην των κέντρων διασκέδασης και των καζίνο</w:t>
      </w:r>
    </w:p>
    <w:p>
      <w:pPr>
        <w:spacing w:before="240" w:after="240"/>
        <w:rPr>
          <w:lang w:val="el" w:eastAsia="el"/>
        </w:rPr>
      </w:pPr>
      <w:r>
        <w:rPr>
          <w:b/>
          <w:bCs/>
          <w:lang w:val="el" w:eastAsia="el"/>
        </w:rPr>
        <w:t>Για το έτος 2022, υπολογίζεται σε 0,5% και το τέλος δεν δύναται να είναι κατώτερο των 3.000€</w:t>
      </w:r>
    </w:p>
    <w:p>
      <w:pPr>
        <w:spacing w:before="240" w:after="240"/>
        <w:rPr>
          <w:lang w:val="el" w:eastAsia="el"/>
        </w:rPr>
      </w:pPr>
      <w:r>
        <w:rPr>
          <w:b/>
          <w:bCs/>
          <w:lang w:val="el" w:eastAsia="el"/>
        </w:rPr>
        <w:t>5% από 1.1.2023 χωρίς ελάχιστο ετήσιο κατ’ αποκοπή ποσό, για τα κέντρα διασκέδασης.</w:t>
      </w:r>
    </w:p>
    <w:p>
      <w:pPr>
        <w:spacing w:before="240" w:after="240"/>
        <w:rPr>
          <w:lang w:val="el" w:eastAsia="el"/>
        </w:rPr>
      </w:pPr>
      <w:r>
        <w:rPr>
          <w:b/>
          <w:bCs/>
          <w:lang w:val="el" w:eastAsia="el"/>
        </w:rPr>
        <w:t>2% για τα έσοδα επιχειρήσεων που λειτουργούν εντός Καζίνο και για τις επιχειρήσεις Καζίνο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