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Χανδρή 1 &amp; Θεσσαλονίκης ΠΡΟΣ: Ως Πίνακας Διανομής</w:t>
      </w:r>
    </w:p>
    <w:p>
      <w:pPr>
        <w:pStyle w:val="PreambelText"/>
        <w:spacing w:before="240" w:after="240"/>
        <w:rPr>
          <w:lang w:val="el" w:eastAsia="el"/>
        </w:rPr>
      </w:pPr>
      <w:r>
        <w:rPr>
          <w:b/>
          <w:bCs/>
          <w:lang w:val="el" w:eastAsia="el"/>
        </w:rPr>
        <w:t>183 46 ΜΟΣΧΑΤΟ</w:t>
      </w:r>
    </w:p>
    <w:p>
      <w:pPr>
        <w:pStyle w:val="PreambelText"/>
        <w:spacing w:before="240" w:after="240"/>
        <w:rPr>
          <w:lang w:val="el" w:eastAsia="el"/>
        </w:rPr>
      </w:pPr>
      <w:r>
        <w:rPr>
          <w:b/>
          <w:bCs/>
          <w:lang w:val="el" w:eastAsia="el"/>
        </w:rPr>
        <w:t>210 4802172</w:t>
      </w:r>
    </w:p>
    <w:p>
      <w:pPr>
        <w:pStyle w:val="PreambelText"/>
        <w:spacing w:before="240" w:after="240"/>
        <w:rPr>
          <w:lang w:val="el" w:eastAsia="el"/>
        </w:rPr>
      </w:pPr>
      <w:hyperlink r:id="rId4" w:history="1">
        <w:r>
          <w:rPr>
            <w:rStyle w:val="Hyperlink"/>
            <w:b/>
            <w:bCs/>
            <w:color w:val="0000EE"/>
            <w:u w:color="0000EE"/>
            <w:lang w:val="el" w:eastAsia="el"/>
          </w:rPr>
          <w:t>defk.b@aade.gr</w:t>
        </w:r>
      </w:hyperlink>
    </w:p>
    <w:p>
      <w:pPr>
        <w:pStyle w:val="PreambelText"/>
        <w:spacing w:before="240" w:after="240"/>
        <w:rPr>
          <w:lang w:val="el" w:eastAsia="el"/>
        </w:rPr>
      </w:pP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Β)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ΑΝΑΠΤΥΞΗΣ ΦΟΡΟΛΟΓΙΚΩΝ ΕΦΑΡΜΟΓΩΝ ΤΜΗΜΑ Β’</w:t>
      </w:r>
    </w:p>
    <w:p>
      <w:pPr>
        <w:pStyle w:val="PreambelText"/>
        <w:spacing w:before="240" w:after="240"/>
        <w:rPr>
          <w:lang w:val="el" w:eastAsia="el"/>
        </w:rPr>
      </w:pPr>
      <w:r>
        <w:rPr>
          <w:lang w:val="el" w:eastAsia="el"/>
        </w:rPr>
        <w:t xml:space="preserve">2) </w:t>
      </w:r>
      <w:r>
        <w:rPr>
          <w:b/>
          <w:bCs/>
          <w:lang w:val="el" w:eastAsia="el"/>
        </w:rPr>
        <w:t>ΔΙΕΥΘΥΝΣΗ ΕΠΙΧΕΙΡΗΣΙΑΚΩΝ ΔΙΑΔΙΚΑΣΙΩΝ ΤΜΗΜΑ Α΄</w:t>
      </w:r>
    </w:p>
    <w:p>
      <w:pPr>
        <w:pStyle w:val="PreambelText"/>
        <w:spacing w:before="240" w:after="240"/>
        <w:rPr>
          <w:lang w:val="el" w:eastAsia="el"/>
        </w:rPr>
      </w:pPr>
      <w:r>
        <w:rPr>
          <w:b/>
          <w:bCs/>
          <w:lang w:val="el" w:eastAsia="el"/>
        </w:rPr>
        <w:t>Ταχ. Δ/νση : Πειραιώς 72 και Πύργου</w:t>
      </w:r>
    </w:p>
    <w:p>
      <w:pPr>
        <w:pStyle w:val="PreambelText"/>
        <w:spacing w:before="240" w:after="240"/>
        <w:rPr>
          <w:lang w:val="el" w:eastAsia="el"/>
        </w:rPr>
      </w:pPr>
      <w:r>
        <w:rPr>
          <w:b/>
          <w:bCs/>
          <w:lang w:val="el" w:eastAsia="el"/>
        </w:rPr>
        <w:t>Ταχ. Κώδικας : 183 46 - ΜΟΣΧΑΤΟ</w:t>
      </w:r>
    </w:p>
    <w:p>
      <w:pPr>
        <w:pStyle w:val="PreambelText"/>
        <w:spacing w:before="240" w:after="240"/>
        <w:rPr>
          <w:lang w:val="el" w:eastAsia="el"/>
        </w:rPr>
      </w:pPr>
      <w:r>
        <w:rPr>
          <w:b/>
          <w:bCs/>
          <w:lang w:val="el" w:eastAsia="el"/>
        </w:rPr>
        <w:t>ΘΕΜΑ : Τροποποίηση της υπό στοιχεία Α. 1110/5.8.2022 απόφασης του Διοικητή της Ανεξάρτητης Αρχής Δημοσίων Εσόδων (Α.Α.Δ.Ε.) «Ηλεκτρονική υποβολή δήλωσης φόρου μεταβίβασης ακινήτων – “Δήλωση Φ.Μ.Α.”» (Β΄4334).</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Tου άρθρου 14 του ν.4652/2020 «Ρυθμίσεις για την αποχώρηση του Ηνωμένου Βασιλείου από την Ευρωπαϊκή Ένωση και άλλες διατάξεις» (Α΄9),</w:t>
      </w:r>
    </w:p>
    <w:p>
      <w:pPr>
        <w:pStyle w:val="StructureList1"/>
        <w:spacing w:before="120" w:after="0"/>
        <w:rPr>
          <w:lang w:val="el" w:eastAsia="el"/>
        </w:rPr>
      </w:pPr>
      <w:r>
        <w:rPr>
          <w:lang w:val="el" w:eastAsia="el"/>
        </w:rPr>
        <w:t>β)</w:t>
      </w:r>
      <w:r>
        <w:rPr>
          <w:lang w:val="en" w:eastAsia="en"/>
        </w:rPr>
        <w:tab/>
      </w:r>
      <w:r>
        <w:rPr>
          <w:b/>
          <w:bCs/>
          <w:lang w:val="el" w:eastAsia="el"/>
        </w:rPr>
        <w:t>του Κώδικα Φορολογικής Διαδικασίας (ν.4987/2022, Α΄ 206), και ειδικότερα των άρθρων 4, 5, 6, 15 παρ. 3, 18, 19, 20, 30, 32, 34, 37, 53, 54 αυτού,</w:t>
      </w:r>
    </w:p>
    <w:p>
      <w:pPr>
        <w:pStyle w:val="StructureList1"/>
        <w:spacing w:before="120" w:after="0"/>
        <w:rPr>
          <w:lang w:val="el" w:eastAsia="el"/>
        </w:rPr>
      </w:pPr>
      <w:r>
        <w:rPr>
          <w:lang w:val="el" w:eastAsia="el"/>
        </w:rPr>
        <w:t>γ)</w:t>
      </w:r>
      <w:r>
        <w:rPr>
          <w:lang w:val="en" w:eastAsia="en"/>
        </w:rPr>
        <w:tab/>
      </w:r>
      <w:r>
        <w:rPr>
          <w:b/>
          <w:bCs/>
          <w:lang w:val="el" w:eastAsia="el"/>
        </w:rPr>
        <w:t>τον α.ν. 1521/1950 «Περί φόρου μεταβιβάσεως ακινήτων» (Α’ 245), ο οποίος κυρώθηκε με τον ν. 1587/1950 (Α’ 294), και ειδικότερα την παρ. 12 του άρθρου 7 αυτού,</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αυτού και</w:t>
      </w:r>
    </w:p>
    <w:p>
      <w:pPr>
        <w:pStyle w:val="StructureList1"/>
        <w:spacing w:before="120" w:after="0"/>
        <w:rPr>
          <w:lang w:val="el" w:eastAsia="el"/>
        </w:rPr>
      </w:pPr>
      <w:r>
        <w:rPr>
          <w:lang w:val="el" w:eastAsia="el"/>
        </w:rPr>
        <w:t>ε)</w:t>
      </w:r>
      <w:r>
        <w:rPr>
          <w:lang w:val="en" w:eastAsia="en"/>
        </w:rPr>
        <w:tab/>
      </w:r>
      <w:r>
        <w:rPr>
          <w:b/>
          <w:bCs/>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pStyle w:val="PreambelText"/>
        <w:spacing w:before="240" w:after="240"/>
        <w:rPr>
          <w:lang w:val="el" w:eastAsia="el"/>
        </w:rPr>
      </w:pPr>
      <w:r>
        <w:rPr>
          <w:lang w:val="el" w:eastAsia="el"/>
        </w:rPr>
        <w:t xml:space="preserve">2. </w:t>
      </w:r>
      <w:r>
        <w:rPr>
          <w:b/>
          <w:bCs/>
          <w:lang w:val="el" w:eastAsia="el"/>
        </w:rPr>
        <w:t>Την υπό στοιχεία Α. 1110/5.8.2022 απόφαση του Διοικητή της Α.Α.Δ.Ε. «Ηλεκτρονική υποβολή δήλωσης φόρου μεταβίβασης ακινήτων- “Δήλωση Φ.Μ.Α.”» (Β’ 4334).</w:t>
      </w:r>
    </w:p>
    <w:p>
      <w:pPr>
        <w:pStyle w:val="PreambelText"/>
        <w:spacing w:before="240" w:after="240"/>
        <w:rPr>
          <w:lang w:val="el" w:eastAsia="el"/>
        </w:rPr>
      </w:pPr>
      <w:r>
        <w:rPr>
          <w:lang w:val="el" w:eastAsia="el"/>
        </w:rPr>
        <w:t xml:space="preserve">3. </w:t>
      </w:r>
      <w:r>
        <w:rPr>
          <w:b/>
          <w:bCs/>
          <w:lang w:val="el" w:eastAsia="el"/>
        </w:rPr>
        <w:t>Την υπ’ αρ. 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την υπ’ αρ. 39/3/30.11.2017 (Υ.Ο.Δ.Δ. 689) απόφαση του Συμβουλίου Διοίκησης της Α.Α.Δ.Ε και την υπό στοιχεία 5294 ΕΞ 2020/17.1.2020 (Υ.Ο.Δ.Δ. 27) απόφαση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 xml:space="preserve">4. </w:t>
      </w:r>
      <w:r>
        <w:rPr>
          <w:b/>
          <w:bCs/>
          <w:lang w:val="el" w:eastAsia="el"/>
        </w:rPr>
        <w:t>Την ανάγκη καθορισμού του τρόπου και περιεχομένου της υποβολής εμπρόθεσμων τροποποιητικών δηλώσεων φόρου μεταβίβασης ακινήτων, μέσω της εφαρμογής myPROPERTY της Α.Α.Δ.Ε..</w:t>
      </w:r>
    </w:p>
    <w:p>
      <w:pPr>
        <w:pStyle w:val="PreambelText"/>
        <w:spacing w:before="240" w:after="240"/>
        <w:rPr>
          <w:lang w:val="el" w:eastAsia="el"/>
        </w:rPr>
      </w:pPr>
      <w:r>
        <w:rPr>
          <w:lang w:val="el" w:eastAsia="el"/>
        </w:rPr>
        <w:t xml:space="preserve">5.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pStyle w:val="MainText"/>
        <w:spacing w:before="120" w:after="0"/>
        <w:rPr>
          <w:lang w:val="el" w:eastAsia="el"/>
        </w:rPr>
      </w:pPr>
      <w:r>
        <w:rPr>
          <w:b/>
          <w:bCs/>
          <w:lang w:val="el" w:eastAsia="el"/>
        </w:rPr>
        <w:t>1.</w:t>
      </w:r>
      <w:r>
        <w:rPr>
          <w:lang w:val="el" w:eastAsia="el"/>
        </w:rPr>
        <w:t xml:space="preserve"> </w:t>
      </w:r>
      <w:r>
        <w:rPr>
          <w:b/>
          <w:bCs/>
          <w:lang w:val="el" w:eastAsia="el"/>
        </w:rPr>
        <w:t>Τροποποιούμε την υπό στοιχεία Α. 1110/5.8.2022 απόφαση του Διοικητή της Α.Α.Δ.Ε. «Ηλεκτρονική υποβολή δήλωσης φόρου μεταβίβασης ακινήτων –“Δήλωση Φ.Μ.Α.”» (Β’ 4334), ως εξής: α) Στην παρ. 1 του άρθρου μόνου προστίθεται περ. Δ. ως εξής:</w:t>
      </w:r>
    </w:p>
    <w:p>
      <w:pPr>
        <w:spacing w:before="240" w:after="240"/>
        <w:rPr>
          <w:lang w:val="el" w:eastAsia="el"/>
        </w:rPr>
      </w:pPr>
      <w:r>
        <w:rPr>
          <w:b/>
          <w:bCs/>
          <w:lang w:val="el" w:eastAsia="el"/>
        </w:rPr>
        <w:t>«Δ. Οι τροποποιητικές εμπρόθεσμες δηλώσεις φόρου μεταβίβασης ακινήτων, που βρίσκονται σε περιοχές στις οποίες ισχύει το σύστημα αντικειμενικού προσδιορισμού της αξίας, εφόσον η αρχική δήλωση έχει υποβληθεί μέσω της εφαρμογής myPROPERTY της Α.Α.Δ.Ε., δεν έχει συνταχθεί το σχετικό συμβολαιογραφικό έγγραφο και αφορούν τις υποπερ. α), β), γ) και ε) της περ. Α.». β) Η παρ. 8 του άρθρου μόνου καταργείται.</w:t>
      </w:r>
    </w:p>
    <w:p>
      <w:pPr>
        <w:pStyle w:val="MainText"/>
        <w:spacing w:before="120" w:after="0"/>
        <w:rPr>
          <w:lang w:val="el" w:eastAsia="el"/>
        </w:rPr>
      </w:pPr>
      <w:r>
        <w:rPr>
          <w:b/>
          <w:bCs/>
          <w:lang w:val="el" w:eastAsia="el"/>
        </w:rPr>
        <w:t>2.</w:t>
      </w:r>
      <w:r>
        <w:rPr>
          <w:lang w:val="el" w:eastAsia="el"/>
        </w:rPr>
        <w:t xml:space="preserve"> </w:t>
      </w:r>
      <w:r>
        <w:rPr>
          <w:b/>
          <w:bCs/>
          <w:lang w:val="el" w:eastAsia="el"/>
        </w:rPr>
        <w:t>Οι δηλώσεις της προηγούμενης παραγράφου υποβάλλονται αποκλειστικά μέσω της πλατφόρμας myPROPERTY.</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παρούσα απόφαση ισχύει πέντε (5) ημέρες από τη δημοσίευσή της στην Εφημερίδα της Κυβερνήσεως.</w:t>
      </w:r>
    </w:p>
    <w:p>
      <w:pPr>
        <w:spacing w:before="240" w:after="240"/>
        <w:rPr>
          <w:lang w:val="el" w:eastAsia="el"/>
        </w:rPr>
      </w:pPr>
      <w:r>
        <w:rPr>
          <w:lang w:val="el" w:eastAsia="el"/>
        </w:rPr>
        <w:t xml:space="preserve">4. </w:t>
      </w: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ΑΜΕΣΗ ΕΝΕΡΓΕΙΑ</w:t>
      </w:r>
    </w:p>
    <w:p>
      <w:pPr>
        <w:spacing w:before="240" w:after="240"/>
        <w:rPr>
          <w:lang w:val="el" w:eastAsia="el"/>
        </w:rPr>
      </w:pPr>
      <w:r>
        <w:rPr>
          <w:b/>
          <w:bCs/>
          <w:lang w:val="el" w:eastAsia="el"/>
        </w:rPr>
        <w:t>Εθνικό Τυπογραφείο (για δημοσίευση)</w:t>
      </w:r>
    </w:p>
    <w:p>
      <w:pPr>
        <w:spacing w:before="240" w:after="240"/>
        <w:rPr>
          <w:lang w:val="el" w:eastAsia="el"/>
        </w:rPr>
      </w:pPr>
      <w:r>
        <w:rPr>
          <w:b/>
          <w:bCs/>
          <w:u w:val="single"/>
          <w:lang w:val="el" w:eastAsia="el"/>
        </w:rPr>
        <w:t xml:space="preserve">ΙI. </w:t>
      </w:r>
      <w:r>
        <w:rPr>
          <w:b/>
          <w:bCs/>
          <w:u w:val="single"/>
          <w:lang w:val="el" w:eastAsia="el"/>
        </w:rPr>
        <w:t>ΑΠΟΔΕΚΤΕΣ ΓΙΑ ΕΝΕΡΓΕΙΑ (ΜΕΤΑ ΤΗ ΔΗΜΟΣΙΕΥΣΗ ΣΤΗΝ ΕΦΗΜΕΡΙΔΑ ΤΗΣ ΚΥΒΕΡΝΗΣΕΩΣ)</w:t>
      </w:r>
    </w:p>
    <w:p>
      <w:pPr>
        <w:spacing w:before="240" w:after="240"/>
        <w:rPr>
          <w:lang w:val="el" w:eastAsia="el"/>
        </w:rPr>
      </w:pPr>
      <w:r>
        <w:rPr>
          <w:lang w:val="el" w:eastAsia="el"/>
        </w:rPr>
        <w:t xml:space="preserve">1. </w:t>
      </w:r>
      <w:r>
        <w:rPr>
          <w:b/>
          <w:bCs/>
          <w:lang w:val="el" w:eastAsia="el"/>
        </w:rPr>
        <w:t>Αποδέκτες Πίνακα Γ΄(περιπτώσεις 3, 4 και 7)</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w:t>
      </w:r>
    </w:p>
    <w:p>
      <w:pPr>
        <w:spacing w:before="240" w:after="240"/>
        <w:rPr>
          <w:lang w:val="el" w:eastAsia="el"/>
        </w:rPr>
      </w:pPr>
      <w:r>
        <w:rPr>
          <w:lang w:val="el" w:eastAsia="el"/>
        </w:rPr>
        <w:t xml:space="preserve">2. </w:t>
      </w:r>
      <w:r>
        <w:rPr>
          <w:b/>
          <w:bCs/>
          <w:lang w:val="el" w:eastAsia="el"/>
        </w:rPr>
        <w:t>Γραφείο Υφυπουργού</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4. </w:t>
      </w:r>
      <w:r>
        <w:rPr>
          <w:b/>
          <w:bCs/>
          <w:lang w:val="el" w:eastAsia="el"/>
        </w:rPr>
        <w:t>Αποδέκτες με α/α 3 του Πίνακα Β</w:t>
      </w:r>
    </w:p>
    <w:p>
      <w:pPr>
        <w:spacing w:before="240" w:after="240"/>
        <w:rPr>
          <w:lang w:val="el" w:eastAsia="el"/>
        </w:rPr>
      </w:pPr>
      <w:r>
        <w:rPr>
          <w:lang w:val="el" w:eastAsia="el"/>
        </w:rPr>
        <w:t xml:space="preserve">5. </w:t>
      </w:r>
      <w:r>
        <w:rPr>
          <w:b/>
          <w:bCs/>
          <w:lang w:val="el" w:eastAsia="el"/>
        </w:rPr>
        <w:t>Αποδέκτες με α/α 1-6 του Πίνακα Γ΄</w:t>
      </w:r>
    </w:p>
    <w:p>
      <w:pPr>
        <w:spacing w:before="240" w:after="240"/>
        <w:rPr>
          <w:lang w:val="el" w:eastAsia="el"/>
        </w:rPr>
      </w:pPr>
      <w:r>
        <w:rPr>
          <w:lang w:val="el" w:eastAsia="el"/>
        </w:rPr>
        <w:t xml:space="preserve">6. </w:t>
      </w:r>
      <w:r>
        <w:rPr>
          <w:b/>
          <w:bCs/>
          <w:lang w:val="el" w:eastAsia="el"/>
        </w:rPr>
        <w:t>Αποδέκτες με α/α 1 και 7 του Πίνακα Ζ΄</w:t>
      </w:r>
    </w:p>
    <w:p>
      <w:pPr>
        <w:spacing w:before="240" w:after="240"/>
        <w:rPr>
          <w:lang w:val="el" w:eastAsia="el"/>
        </w:rPr>
      </w:pPr>
      <w:r>
        <w:rPr>
          <w:lang w:val="el" w:eastAsia="el"/>
        </w:rPr>
        <w:t xml:space="preserve">7. </w:t>
      </w:r>
      <w:r>
        <w:rPr>
          <w:b/>
          <w:bCs/>
          <w:lang w:val="el" w:eastAsia="el"/>
        </w:rPr>
        <w:t>Αποδέκτες με α/α 1-3 και 5-9 του Πίνακα Η΄</w:t>
      </w:r>
    </w:p>
    <w:p>
      <w:pPr>
        <w:spacing w:before="240" w:after="240"/>
        <w:rPr>
          <w:lang w:val="el" w:eastAsia="el"/>
        </w:rPr>
      </w:pPr>
      <w:r>
        <w:rPr>
          <w:lang w:val="el" w:eastAsia="el"/>
        </w:rPr>
        <w:t xml:space="preserve">8. </w:t>
      </w:r>
      <w:r>
        <w:rPr>
          <w:b/>
          <w:bCs/>
          <w:lang w:val="el" w:eastAsia="el"/>
        </w:rPr>
        <w:t>Υπουργείο Δικαιοσύνης (με την παράκληση να ενημερώσει όλα τα Υποθηκοφυλακεία, τους Δικηγορικούς και τους Συμβολαιογραφικούς Συλλόγους)</w:t>
      </w:r>
    </w:p>
    <w:p>
      <w:pPr>
        <w:spacing w:before="240" w:after="240"/>
        <w:rPr>
          <w:lang w:val="el" w:eastAsia="el"/>
        </w:rPr>
      </w:pPr>
      <w:r>
        <w:rPr>
          <w:b/>
          <w:bCs/>
          <w:u w:val="single"/>
          <w:lang w:val="el" w:eastAsia="el"/>
        </w:rPr>
        <w:t xml:space="preserve">IV </w:t>
      </w:r>
      <w:r>
        <w:rPr>
          <w:b/>
          <w:bCs/>
          <w:u w:val="single"/>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Γραφεία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4. </w:t>
      </w:r>
      <w:r>
        <w:rPr>
          <w:b/>
          <w:bCs/>
          <w:lang w:val="el" w:eastAsia="el"/>
        </w:rPr>
        <w:t>Διεύθυνση Νομικής Υποστήριξης</w:t>
      </w:r>
    </w:p>
    <w:p>
      <w:pPr>
        <w:spacing w:before="240" w:after="240"/>
        <w:rPr>
          <w:lang w:val="el" w:eastAsia="el"/>
        </w:rPr>
      </w:pPr>
      <w:r>
        <w:rPr>
          <w:lang w:val="el" w:eastAsia="el"/>
        </w:rPr>
        <w:t xml:space="preserve">5. </w:t>
      </w:r>
      <w:r>
        <w:rPr>
          <w:b/>
          <w:bCs/>
          <w:lang w:val="el" w:eastAsia="el"/>
        </w:rPr>
        <w:t>Διεύθυνση Ανάπτυξης Φορολογικών Εφαρμογών - Τμήμα Α΄</w:t>
      </w:r>
    </w:p>
    <w:p>
      <w:pPr>
        <w:spacing w:before="240" w:after="240"/>
        <w:rPr>
          <w:lang w:val="el" w:eastAsia="el"/>
        </w:rPr>
      </w:pPr>
      <w:r>
        <w:rPr>
          <w:lang w:val="el" w:eastAsia="el"/>
        </w:rPr>
        <w:t xml:space="preserve">6. </w:t>
      </w:r>
      <w:r>
        <w:rPr>
          <w:b/>
          <w:bCs/>
          <w:lang w:val="el" w:eastAsia="el"/>
        </w:rPr>
        <w:t>Διεύθυνση Επιχειρησιακών Διαδικασιών - Τμήμα Α΄</w:t>
      </w:r>
    </w:p>
    <w:p>
      <w:pPr>
        <w:spacing w:before="240" w:after="240"/>
        <w:rPr>
          <w:lang w:val="el" w:eastAsia="el"/>
        </w:rPr>
      </w:pPr>
      <w:r>
        <w:rPr>
          <w:lang w:val="el" w:eastAsia="el"/>
        </w:rPr>
        <w:t xml:space="preserve">7. </w:t>
      </w:r>
      <w:r>
        <w:rPr>
          <w:b/>
          <w:bCs/>
          <w:lang w:val="el" w:eastAsia="el"/>
        </w:rPr>
        <w:t>Διεύθυνση Στρατηγικής Τεχνολογιών Πληροφορικής - Τμήμα Δ΄</w:t>
      </w:r>
    </w:p>
    <w:p>
      <w:pPr>
        <w:spacing w:before="240" w:after="240"/>
        <w:rPr>
          <w:lang w:val="el" w:eastAsia="el"/>
        </w:rPr>
      </w:pPr>
      <w:r>
        <w:rPr>
          <w:lang w:val="el" w:eastAsia="el"/>
        </w:rPr>
        <w:t xml:space="preserve">8. </w:t>
      </w:r>
      <w:r>
        <w:rPr>
          <w:b/>
          <w:bCs/>
          <w:lang w:val="el" w:eastAsia="el"/>
        </w:rPr>
        <w:t>Διεύθυνση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