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4490 ΕΞ 2024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Σύσταση, συγκρότηση και ορισμός μελών Επιτροπής για την αναμόρφωση των τεκμηρίων διαβίωσης και απόκτησης περιουσιακών στοιχείων.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ΦΟΡΟΛΟΓΙΚΗΣ ΠΟΛΙΤΙΚΗΣ ΤΟΥ ΥΠΟΥΡΓΕΙΟΥ ΕΘΝΙΚΗΣ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περ. β) της παρ. 3 του άρθρου 44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13 έως 15 του Κώδικα Διοικητικής Διαδικασίας και άλλες διατάξεις (ν. 2690/1999, Α’ 45),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5 του ν. 3469/2006 «Εθνικό Τυπογραφείο, Εφημερίς της Κυβερνήσεως και λοιπές διατάξεις» (Α’ 131), ε) της περ. ε’ της παρ. 5 του άρθρου 24 του ν. 4270/2014 «Αρχές δημοσιονομικής διαχείρισης και εποπτείας (ενσωμάτωση της Οδηγίας 2011/85/ΕΕ) - 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21 του ν. 4354/2015 «Διαχείριση των μη εξυπηρετούμενων δανείων, μισθολογικές ρυθμίσεις και άλλες επείγουσες διατάξεις εφαρμογής της συμφωνίας δημοσιονομικών στόχων και διαρθρωτικών μεταρρυθμίσεων» (Α’ 176),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των άρθρων 76 και 77 του ν. 4727/2020 «Ψηφιακή Διακυβέρνηση [ενσωμάτωση στην Ελληνική Νομοθεσία της Οδηγίας (ΕΕ) 2016/2102 και της Οδηγίας (ΕΕ) 2019/1024] - Ηλεκτρονικές Επικοινωνίες [ενσωμάτωση στο Ελληνικό Δίκαιο της Οδηγίας (ΕΕ) 2018/1972] και άλλες διατάξεις»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θα)</w:t>
      </w:r>
      <w:r>
        <w:rPr>
          <w:lang w:val="en" w:eastAsia="en"/>
        </w:rPr>
        <w:tab/>
      </w:r>
      <w:r>
        <w:rPr>
          <w:lang w:val="el" w:eastAsia="el"/>
        </w:rPr>
        <w:t>του π.δ. 79/2023 «Διορισμός Υπουργών, Αναπληρωτών Υπουργών και Υφυπουργών» (Α’ 131)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θβ)</w:t>
      </w:r>
      <w:r>
        <w:rPr>
          <w:lang w:val="en" w:eastAsia="en"/>
        </w:rPr>
        <w:tab/>
      </w:r>
      <w:r>
        <w:rPr>
          <w:lang w:val="el" w:eastAsia="el"/>
        </w:rPr>
        <w:t>του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110152 ΕΞ 2023/24.7.2023 κοινή απόφαση του Πρωθυπουργού και του Υπουργού Οικονομικών «Διορισμός σε θέση Γενικής Γραμματέως Φορολογικής Πολιτικής του Υπουργείου Εθνικής Οικονομίας και Οικονομικών» (Υ.Ο.Δ.Δ. 713).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Τα από 22/11/2023 και 28/11/2023 μηνύματα ηλεκτρονικού ταχυδρομείου εκ του Γραφείου του Υφυπουργού Εθνικής Οικονομίας και Οικονομικών Θεοχάρη Θεοχάρη.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υπό στοιχεία 179437 ΕΞ 2023/05.12.2023 εισήγηση της Προϊσταμένης της Γενικής Διεύθυνσης Οικονομικών Υπηρεσιών του Υπουργείου Εθνικής Οικονομίας και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αναμόρφωσης των τεκμηρίων διαβίωσης και απόκτησης περιουσιακών στοιχείων σύμφωνα με τις υφιστάμενες οικονομικές και κοινωνικές συνθήκες.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Συστήνουμε στη Γενική Γραμματεία Φορολογικής Πολιτικής του Υπουργείου Εθνικής Οικονομίας και Οικονομικών Επιτροπή για την αναμόρφωση των τεκμηρίων διαβίωσης και απόκτησης περιουσιακών στοιχείων.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Συγκροτούμε την ανωτέρω Επιτροπή και ορίζουμε τα μέλη της,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Μαρία Ψύλλα του Μιλτιάδη, Γενική Γραμματέα Φορολογικής Πολιτικής, ως Πρόεδρο.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Χρυσάνθη Μήλιου του Δημητρίου, συνεργάτιδα στο Γραφείο της Γενικής Γραμματέως Φορολογικής Πολιτικής,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Δάφνη Καρατζά του Στυλιανού, υπάλληλο, με βαθμό Α’, του κλάδου ΠΕ Εφοριακών, που υπηρετεί στο Γραφείο του Γενικού Γραμματέα Οικονομικής Πολιτικής και Στρατηγικής,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Βασίλειο Δασουρά του Ιωάννη, υπάλληλο με βαθμό Α’, του κλάδου ΠΕ Εφοριακών, που υπηρετεί στο Τμήμα Α’ της Διεύθυνσης Φορολογικής Πολιτικής,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Γιοβά Βασιλική του Γεωργίου, υπάλληλο με βαθμό Α’, του κλάδου ΠΕ Εφοριακών, που υπηρετεί στο Γραφείο του Υφυπουργού Εθνικής Οικονομίας και Οικονομικών, Θεοχάρη Θεοχάρη,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Θεόδωρο Φλωρόπουλο του Παναγιώτη, υπάλληλο με βαθμό Α’, του κλάδου ΠΕ Εφοριακών, που υπηρετεί στο Γραφείο του Υφυπουργού Εθνικής Οικονομίας και Οικονομικών, Θεοχάρη Θεοχάρη,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Γραμματέας της Επιτροπής ορίζεται o Βασίλειος Δασούρας.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Έργο της Επιτροπής είναι η αποτύπωση της υφιστάμενης κατάστασης και η διατύπωση απόψεων και προτάσεων σχετικά με το θέμα της αναμόρφωσης των τεκμηρίων διαβίωσης και απόκτησης περιουσιακών στοιχείων.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Επιτροπή θα συνεδριάζει τουλάχιστον μία φορά το μήνα και εκτάκτως όταν προκύπτουν επείγοντα θέματα, στο κτίριο όπου στεγάζεται το Γραφείο του Υφυπουργού Εθνικής Οικονομίας και Οικονομικών (Καραγιώργη Σερβίας 10, Αθήνα) ή με τηλεδιάσκεψη, εντός του κανονικού ωραρίου λειτουργίας των δημοσίων υπηρεσιών ή σε χρόνο που καλύπτεται από υπερωριακή απασχόληση.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Η διάρκειά της Επιτροπής ορίζεται έως την ολοκλήρωση του έργου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11 Ιανουαρίου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Γενική Γραμματέας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ΜΑΡΙΑ ΨΥΛΛΑ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