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ΔΙΕΥΘΥΝΣΗ ΕΞΥΠΗΡΕΤΗΣΗΣ</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ΥΠΗΡΕΣΙΩΝ ΔΕΔΟΜΕΝΩΝ ΤΜΗΜΑ Γ΄</w:t>
      </w:r>
    </w:p>
    <w:p>
      <w:pPr>
        <w:spacing w:before="240" w:after="240"/>
        <w:rPr>
          <w:lang w:val="el" w:eastAsia="el"/>
        </w:rPr>
      </w:pPr>
      <w:r>
        <w:rPr>
          <w:lang w:val="el" w:eastAsia="el"/>
        </w:rPr>
        <w:t xml:space="preserve">2.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3.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2"/>
        <w:gridCol w:w="35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Αμφιαράου 119 &amp;</w:t>
            </w:r>
          </w:p>
          <w:p>
            <w:pPr>
              <w:spacing w:before="240"/>
              <w:rPr>
                <w:b w:val="0"/>
                <w:bCs w:val="0"/>
                <w:i w:val="0"/>
                <w:iCs w:val="0"/>
                <w:smallCaps w:val="0"/>
                <w:color w:val="000000"/>
                <w:lang w:val="el" w:eastAsia="el"/>
              </w:rPr>
            </w:pPr>
            <w:r>
              <w:rPr>
                <w:b/>
                <w:bCs/>
                <w:i w:val="0"/>
                <w:iCs w:val="0"/>
                <w:smallCaps w:val="0"/>
                <w:color w:val="000000"/>
                <w:lang w:val="el" w:eastAsia="el"/>
              </w:rPr>
              <w:t>Κλεομήδους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104 43,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 1390 352 έως 356,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registry@aade.gr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Τροποποίηση και συμπλήρωση της υπό στοιχεία 1100330 / 1954 / ΔΜ / ΠΟΛ 1133 / 06-10-2008 απόφασης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4, 10, 11 και 15, της παρ. 2 του άρθρου 18 και της παρ. 3 του άρθρου 19 του Κώδικα Φορολογικής Διαδικασίας (ν.4987/2022, Α΄206),</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γ)</w:t>
      </w:r>
      <w:r>
        <w:rPr>
          <w:lang w:val="en" w:eastAsia="en"/>
        </w:rPr>
        <w:tab/>
      </w:r>
      <w:r>
        <w:rPr>
          <w:b/>
          <w:bCs/>
          <w:lang w:val="el" w:eastAsia="el"/>
        </w:rPr>
        <w:t>των παρ. 1 και 2 του άρθρου 36 του Κώδικα Φόρου Προστιθεμένης Αξίας (ν.2859/2000, Α΄248),</w:t>
      </w:r>
    </w:p>
    <w:p>
      <w:pPr>
        <w:pStyle w:val="StructureList1"/>
        <w:spacing w:before="120" w:after="0"/>
        <w:rPr>
          <w:lang w:val="el" w:eastAsia="el"/>
        </w:rPr>
      </w:pPr>
      <w:r>
        <w:rPr>
          <w:lang w:val="el" w:eastAsia="el"/>
        </w:rPr>
        <w:t>δ)</w:t>
      </w:r>
      <w:r>
        <w:rPr>
          <w:lang w:val="en" w:eastAsia="en"/>
        </w:rPr>
        <w:tab/>
      </w:r>
      <w:r>
        <w:rPr>
          <w:b/>
          <w:bCs/>
          <w:lang w:val="el" w:eastAsia="el"/>
        </w:rPr>
        <w:t>του ν.4172/2013 «Φορολογία Εισοδήματος, επείγοντα μέτρα εφαρμογής του ν.4046/2012, του ν.4093/2012 και του ν.4127/2013 και άλλες διατάξεις» (Α΄167),</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ΠΟΛ 1006/31-12-2013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1100330/1954/ΔΜ/ΠΟΛ1133/06-10-2008 απόφαση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υπ’ αρ. 39/3/30-11-2017 (Υ.Ο.Δ.Δ. 689) απόφαση του Συμβουλίου Διοίκησης της ΑΑΔΕ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επικαιροποίησης της Εθνικής Ονοματολογίας Οικονομικών Δραστηριοτήτων.</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Ο πίνακας της αναθεωρημένης έκδοσης «Κωδικοί Αριθμοί Δραστηριότητας (Κ.Α.Δ.) 2008» της υπό στοιχεία 1100330/1954/ΔΜ/ΠΟΛ1133/06-10-2008 (Β΄2149) απόφασης, τροποποιείται ως κάτωθι: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Προσθήκη νέων Κ.Α.Δ.</w:t>
      </w:r>
    </w:p>
    <w:p>
      <w:pPr>
        <w:spacing w:before="240" w:after="240"/>
        <w:rPr>
          <w:lang w:val="el" w:eastAsia="el"/>
        </w:rPr>
      </w:pPr>
      <w:r>
        <w:rPr>
          <w:b/>
          <w:bCs/>
          <w:lang w:val="el" w:eastAsia="el"/>
        </w:rPr>
        <w:t>Προστίθενται οι ακόλουθοι Κωδικοί Αριθμοί Δραστηριότητας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35.14.10.01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Σωρευτικής Εκπροσώπησης Φορτίου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βραχυχρόνιας μίσθωσης ακινήτων μέσω των ψηφιακών πλατφορμών στο πλαίσιο της οικονομίας του διαμοιρασμού</w:t>
            </w:r>
          </w:p>
        </w:tc>
      </w:tr>
    </w:tbl>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την επόμενη εργάσιμη ημέρα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w:t>
      </w:r>
    </w:p>
    <w:p>
      <w:pPr>
        <w:spacing w:before="240" w:after="240"/>
        <w:rPr>
          <w:lang w:val="el" w:eastAsia="el"/>
        </w:rPr>
      </w:pPr>
      <w:r>
        <w:rPr>
          <w:b/>
          <w:bCs/>
          <w:lang w:val="el" w:eastAsia="el"/>
        </w:rPr>
        <w:t>» »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lang w:val="el" w:eastAsia="el"/>
        </w:rPr>
        <w:t xml:space="preserve">9.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Πλατεία Κάνιγγος, Αθήνα, 10181</w:t>
      </w:r>
    </w:p>
    <w:p>
      <w:pPr>
        <w:spacing w:before="240" w:after="240"/>
        <w:rPr>
          <w:lang w:val="el" w:eastAsia="el"/>
        </w:rPr>
      </w:pPr>
      <w:r>
        <w:rPr>
          <w:lang w:val="el" w:eastAsia="el"/>
        </w:rPr>
        <w:t xml:space="preserve">10. </w:t>
      </w:r>
      <w:r>
        <w:rPr>
          <w:b/>
          <w:bCs/>
          <w:lang w:val="el" w:eastAsia="el"/>
        </w:rPr>
        <w:t>Ελληνική Στατιστική Αρχή</w:t>
      </w:r>
    </w:p>
    <w:p>
      <w:pPr>
        <w:spacing w:before="240" w:after="240"/>
        <w:rPr>
          <w:lang w:val="el" w:eastAsia="el"/>
        </w:rPr>
      </w:pPr>
      <w:r>
        <w:rPr>
          <w:b/>
          <w:bCs/>
          <w:lang w:val="el" w:eastAsia="el"/>
        </w:rPr>
        <w:t>Διεύθυνση Μεθοδολογίας, Διαχείρισης Ποιότητας και Διεθνών Σχέσεων Τμήμα Μεθοδολογίας και Ονοματολογιών</w:t>
      </w:r>
    </w:p>
    <w:p>
      <w:pPr>
        <w:spacing w:before="240" w:after="240"/>
        <w:rPr>
          <w:lang w:val="el" w:eastAsia="el"/>
        </w:rPr>
      </w:pPr>
      <w:r>
        <w:rPr>
          <w:b/>
          <w:bCs/>
          <w:lang w:val="el" w:eastAsia="el"/>
        </w:rPr>
        <w:t>Πειραιώς 46 και Επονιτών</w:t>
      </w:r>
    </w:p>
    <w:p>
      <w:pPr>
        <w:spacing w:before="240" w:after="240"/>
        <w:rPr>
          <w:lang w:val="el" w:eastAsia="el"/>
        </w:rPr>
      </w:pPr>
      <w:r>
        <w:rPr>
          <w:b/>
          <w:bCs/>
          <w:lang w:val="el" w:eastAsia="el"/>
        </w:rPr>
        <w:t>Τ.Κ. 18510, Πειραιάς</w:t>
      </w:r>
    </w:p>
    <w:p>
      <w:pPr>
        <w:spacing w:before="240" w:after="240"/>
        <w:rPr>
          <w:lang w:val="el" w:eastAsia="el"/>
        </w:rPr>
      </w:pPr>
      <w:r>
        <w:rPr>
          <w:lang w:val="el" w:eastAsia="el"/>
        </w:rPr>
        <w:t xml:space="preserve">11. </w:t>
      </w:r>
      <w:r>
        <w:rPr>
          <w:b/>
          <w:bCs/>
          <w:lang w:val="el" w:eastAsia="el"/>
        </w:rPr>
        <w:t>Υπουργείο Ανάπτυξης και Επενδύσεων</w:t>
      </w:r>
    </w:p>
    <w:p>
      <w:pPr>
        <w:spacing w:before="240" w:after="240"/>
        <w:rPr>
          <w:lang w:val="el" w:eastAsia="el"/>
        </w:rPr>
      </w:pPr>
      <w:r>
        <w:rPr>
          <w:b/>
          <w:bCs/>
          <w:lang w:val="el" w:eastAsia="el"/>
        </w:rPr>
        <w:t>Γραφείο Γενικού Γραμματέα Εμπορίου</w:t>
      </w:r>
    </w:p>
    <w:p>
      <w:pPr>
        <w:spacing w:before="240" w:after="240"/>
        <w:rPr>
          <w:lang w:val="el" w:eastAsia="el"/>
        </w:rPr>
      </w:pPr>
      <w:r>
        <w:rPr>
          <w:b/>
          <w:bCs/>
          <w:lang w:val="el" w:eastAsia="el"/>
        </w:rPr>
        <w:t>E-mail:</w:t>
      </w:r>
      <w:hyperlink r:id="rId6" w:history="1">
        <w:r>
          <w:rPr>
            <w:rStyle w:val="Hyperlink"/>
            <w:b/>
            <w:bCs/>
            <w:color w:val="0000EE"/>
            <w:u w:color="0000EE"/>
            <w:lang w:val="el" w:eastAsia="el"/>
          </w:rPr>
          <w:t>gen-sec@mindev.gov.gr</w:t>
        </w:r>
      </w:hyperlink>
    </w:p>
    <w:p>
      <w:pPr>
        <w:spacing w:before="240" w:after="240"/>
        <w:rPr>
          <w:lang w:val="el" w:eastAsia="el"/>
        </w:rPr>
      </w:pPr>
      <w:r>
        <w:rPr>
          <w:b/>
          <w:bCs/>
          <w:lang w:val="el" w:eastAsia="el"/>
        </w:rPr>
        <w:t xml:space="preserve">12. </w:t>
      </w:r>
      <w:r>
        <w:rPr>
          <w:b/>
          <w:bCs/>
          <w:lang w:val="el" w:eastAsia="el"/>
        </w:rPr>
        <w:t>Αυτοτελές Τμήμα Ηλεκτροκίνησης</w:t>
      </w:r>
    </w:p>
    <w:p>
      <w:pPr>
        <w:spacing w:before="240" w:after="240"/>
        <w:rPr>
          <w:lang w:val="el" w:eastAsia="el"/>
        </w:rPr>
      </w:pPr>
      <w:r>
        <w:rPr>
          <w:b/>
          <w:bCs/>
          <w:lang w:val="el" w:eastAsia="el"/>
        </w:rPr>
        <w:t>Email:</w:t>
      </w:r>
      <w:hyperlink r:id="rId7" w:history="1">
        <w:r>
          <w:rPr>
            <w:rStyle w:val="Hyperlink"/>
            <w:b/>
            <w:bCs/>
            <w:color w:val="0000EE"/>
            <w:u w:color="0000EE"/>
            <w:lang w:val="el" w:eastAsia="el"/>
          </w:rPr>
          <w:t>tselikis@prv.ypeka.gr</w:t>
        </w:r>
      </w:hyperlink>
    </w:p>
    <w:p>
      <w:pPr>
        <w:spacing w:before="240" w:after="240"/>
        <w:rPr>
          <w:lang w:val="el" w:eastAsia="el"/>
        </w:rPr>
      </w:pPr>
      <w:r>
        <w:rPr>
          <w:b/>
          <w:bCs/>
          <w:lang w:val="el" w:eastAsia="el"/>
        </w:rPr>
        <w:t xml:space="preserve">13. </w:t>
      </w:r>
      <w:r>
        <w:rPr>
          <w:b/>
          <w:bCs/>
          <w:lang w:val="el" w:eastAsia="el"/>
        </w:rPr>
        <w:t>Υπουργείο Οικονομικών</w:t>
      </w:r>
    </w:p>
    <w:p>
      <w:pPr>
        <w:spacing w:before="240" w:after="240"/>
        <w:rPr>
          <w:lang w:val="el" w:eastAsia="el"/>
        </w:rPr>
      </w:pPr>
      <w:r>
        <w:rPr>
          <w:b/>
          <w:bCs/>
          <w:lang w:val="el" w:eastAsia="el"/>
        </w:rPr>
        <w:t>Γραφείο 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Φορολογίας (Γ.Δ.Φ.)</w:t>
      </w:r>
    </w:p>
    <w:p>
      <w:pPr>
        <w:spacing w:before="240" w:after="240"/>
        <w:rPr>
          <w:lang w:val="el" w:eastAsia="el"/>
        </w:rPr>
      </w:pPr>
      <w:r>
        <w:rPr>
          <w:b/>
          <w:bCs/>
          <w:lang w:val="el" w:eastAsia="el"/>
        </w:rPr>
        <w:t xml:space="preserve">3. </w:t>
      </w:r>
      <w:r>
        <w:rPr>
          <w:b/>
          <w:bCs/>
          <w:lang w:val="el" w:eastAsia="el"/>
        </w:rPr>
        <w:t>Γραφείο Προϊσταμένου Γενικής Διεύθυνσης Φορολογικών Λειτουργιών (Γ.Δ.Φ.Λ.)</w:t>
      </w:r>
    </w:p>
    <w:p>
      <w:pPr>
        <w:spacing w:before="240" w:after="240"/>
        <w:rPr>
          <w:lang w:val="el" w:eastAsia="el"/>
        </w:rPr>
      </w:pPr>
      <w:r>
        <w:rPr>
          <w:b/>
          <w:bCs/>
          <w:lang w:val="el" w:eastAsia="el"/>
        </w:rPr>
        <w:t xml:space="preserve">4. </w:t>
      </w:r>
      <w:r>
        <w:rPr>
          <w:b/>
          <w:bCs/>
          <w:lang w:val="el" w:eastAsia="el"/>
        </w:rPr>
        <w:t>Γραφείο Προϊσταμένης Γενικής Διεύθυνσης Ηλεκτρονικής Διακυβέρνησης</w:t>
      </w:r>
    </w:p>
    <w:p>
      <w:pPr>
        <w:spacing w:before="240" w:after="240"/>
        <w:rPr>
          <w:lang w:val="el" w:eastAsia="el"/>
        </w:rPr>
      </w:pPr>
      <w:r>
        <w:rPr>
          <w:b/>
          <w:bCs/>
          <w:lang w:val="el" w:eastAsia="el"/>
        </w:rPr>
        <w:t xml:space="preserve">5. </w:t>
      </w:r>
      <w:r>
        <w:rPr>
          <w:b/>
          <w:bCs/>
          <w:lang w:val="el" w:eastAsia="el"/>
        </w:rPr>
        <w:t>Διεύθυνση Υπηρεσιών Δεδομένων/Τμήμα Γ΄</w:t>
      </w:r>
    </w:p>
    <w:p>
      <w:pPr>
        <w:spacing w:before="240" w:after="240"/>
        <w:rPr>
          <w:lang w:val="el" w:eastAsia="el"/>
        </w:rPr>
      </w:pPr>
      <w:r>
        <w:rPr>
          <w:b/>
          <w:bCs/>
          <w:lang w:val="el" w:eastAsia="el"/>
        </w:rPr>
        <w:t xml:space="preserve">6. </w:t>
      </w:r>
      <w:r>
        <w:rPr>
          <w:b/>
          <w:bCs/>
          <w:lang w:val="el" w:eastAsia="el"/>
        </w:rPr>
        <w:t>Διεύθυνση Επιχειρησιακών Διαδικασιών/Υποδιεύθυνση Α΄/Τμήμα Δ΄</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b/>
          <w:bCs/>
          <w:lang w:val="el" w:eastAsia="el"/>
        </w:rPr>
        <w:t xml:space="preserve">8. </w:t>
      </w:r>
      <w:r>
        <w:rPr>
          <w:b/>
          <w:bCs/>
          <w:lang w:val="el" w:eastAsia="el"/>
        </w:rPr>
        <w:t>Διεύθυνση Εξυπηρέτησης / Τμήμα Z΄</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mailto:gen-sec@mindev.gov.gr" TargetMode="External" /><Relationship Id="rId7" Type="http://schemas.openxmlformats.org/officeDocument/2006/relationships/hyperlink" Target="mailto:tselikis@prv.ypeka.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