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9444/06-02-2024</w:t>
      </w:r>
    </w:p>
    <w:p>
      <w:pPr>
        <w:pStyle w:val="Title"/>
        <w:spacing w:before="120" w:after="360"/>
        <w:rPr>
          <w:lang w:val="el" w:eastAsia="el"/>
        </w:rPr>
      </w:pPr>
      <w:r>
        <w:rPr>
          <w:lang w:val="el" w:eastAsia="el"/>
        </w:rPr>
        <w:t>Καθορισμός επιχορήγησης των πληγέντων από τις πλημμύρες της 15ης Οκτωβρίου 2022 σε περιοχές του Δήμου Σητείας της Περιφερειακής Ενότητας Λασιθίου της Περιφέρειας Κρήτης</w:t>
      </w:r>
    </w:p>
    <w:p>
      <w:pPr>
        <w:pStyle w:val="PreambelText"/>
        <w:spacing w:before="240" w:after="240"/>
        <w:rPr>
          <w:lang w:val="el" w:eastAsia="el"/>
        </w:rPr>
      </w:pPr>
      <w:r>
        <w:rPr>
          <w:b/>
          <w:bCs/>
          <w:lang w:val="el" w:eastAsia="el"/>
        </w:rPr>
        <w:t>Αριθμ. 9444/6.2.2024</w:t>
      </w:r>
    </w:p>
    <w:p>
      <w:pPr>
        <w:pStyle w:val="PreambelText"/>
        <w:spacing w:before="240" w:after="240"/>
        <w:rPr>
          <w:lang w:val="el" w:eastAsia="el"/>
        </w:rPr>
      </w:pPr>
      <w:r>
        <w:rPr>
          <w:lang w:val="el" w:eastAsia="el"/>
        </w:rPr>
        <w:t>(ΦΕΚ Β' 998/09-02-2024)</w:t>
      </w:r>
    </w:p>
    <w:p>
      <w:pPr>
        <w:pStyle w:val="PreambelText"/>
        <w:spacing w:before="240" w:after="240"/>
        <w:rPr>
          <w:lang w:val="el" w:eastAsia="el"/>
        </w:rPr>
      </w:pPr>
      <w:r>
        <w:rPr>
          <w:lang w:val="el" w:eastAsia="el"/>
        </w:rPr>
        <w:t>Ο ΥΦΥΠΟΥΡΓΟΣ ΚΛΙΜΑΤΙΚΗΣ ΚΡΙΣΗΣ ΚΑΙ ΠΟΛΙΤΙΚΗΣ ΠΡΟΣΤΑΣΙΑΣ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ν. 4797/2021 «Κρατική αρωγή προς επιχειρήσεις και μη κερδοσκοπικού χαρακτήρα φορείς για θεομηνίες, επείγουσες ρυθμίσεις για τη στήριξη της οικονομίας, συμπληρωματικός κρατικός προϋπολογισμός και συνταξιοδοτική ρύθμιση και λοιπές επείγουσες διατάξεις» (Α' 66) και ιδίως των άρθρων 4 και 6, των παρ. 3, 5 και 7 του άρθρου 7, της παρ. 6 του άρθρου 8, των άρθρων 9 και 11, της παρ. 1 του άρθρου 22 και της παρ. 3 του άρθρου 24.</w:t>
      </w:r>
    </w:p>
    <w:p>
      <w:pPr>
        <w:pStyle w:val="PreambelText"/>
        <w:spacing w:before="240" w:after="240"/>
        <w:rPr>
          <w:lang w:val="el" w:eastAsia="el"/>
        </w:rPr>
      </w:pPr>
      <w:r>
        <w:rPr>
          <w:lang w:val="el" w:eastAsia="el"/>
        </w:rPr>
        <w:t>2. Τις διατάξεις του άρθρου 45 του ν. 5082/2024 «Ενίσχυση του Εθνικού Συστήματος Επαγγελματικής Εκπαίδευσης και Κατάρτισης και άλλες επείγουσες διατάξεις» (Α' 9).</w:t>
      </w:r>
    </w:p>
    <w:p>
      <w:pPr>
        <w:pStyle w:val="PreambelText"/>
        <w:spacing w:before="240" w:after="240"/>
        <w:rPr>
          <w:lang w:val="el" w:eastAsia="el"/>
        </w:rPr>
      </w:pPr>
      <w:r>
        <w:rPr>
          <w:lang w:val="el" w:eastAsia="el"/>
        </w:rPr>
        <w:t>3. Τις διατάξεις του ν. 5000/2022 «Ενσωμάτωση στην ελληνική νομοθεσία της Οδηγίας (ΕΕ) 2019/2235 - Κύρωση Πρόσθετης Πράξης στο Νέο Συνυποσχετικό μεταξύ του Ελληνικού Δημοσίου και της Ναυτιλιακής Κοινότητας και φορολογικές ρυθμίσεις για τη ναυτιλία - Επείγουσες φορολογικές και τελωνειακές ρυθμίσεις - Θεσμικό πλαίσιο λειτουργίας της Κεντρικής Μονάδας Κρατικών Ενισχύσεων και του Δικτύου Κρατικών Ενισχύσεων - Μισθολογικές ρυθμίσεις και άλλες διατάξεις οικονομικού και αναπτυξιακού χαρακτήρα» (Α' 226).</w:t>
      </w:r>
    </w:p>
    <w:p>
      <w:pPr>
        <w:pStyle w:val="PreambelText"/>
        <w:spacing w:before="240" w:after="240"/>
        <w:rPr>
          <w:lang w:val="el" w:eastAsia="el"/>
        </w:rPr>
      </w:pPr>
      <w:r>
        <w:rPr>
          <w:lang w:val="el" w:eastAsia="el"/>
        </w:rPr>
        <w:t>4. Τις διατάξεις του Κεφαλαίου ΙΑ «Ψηφιακή Διαφάνεια - Πρόγραμμα Διαύγεια»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 και τον ν. 3469/2006 «Εθνικό Τυπογραφείο, Εφημερίς της Κυβερνήσεως και λοιπές διατάξεις» (Α' 131).</w:t>
      </w:r>
    </w:p>
    <w:p>
      <w:pPr>
        <w:pStyle w:val="PreambelText"/>
        <w:spacing w:before="240" w:after="240"/>
        <w:rPr>
          <w:lang w:val="el" w:eastAsia="el"/>
        </w:rPr>
      </w:pPr>
      <w:r>
        <w:rPr>
          <w:lang w:val="el" w:eastAsia="el"/>
        </w:rPr>
        <w:t>5. Το άρθρο 13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6. Τις διατάξεις του ν. 4270/2014 «Αρχές δημοσιονομικής διαχείρισης και εποπτείας (ενσωμάτωση της Οδηγίας 2011/85/ΕΕ) - δημόσιο λογιστικό και άλλες διατάξεις» (Α' 143).</w:t>
      </w:r>
    </w:p>
    <w:p>
      <w:pPr>
        <w:pStyle w:val="PreambelText"/>
        <w:spacing w:before="240" w:after="240"/>
        <w:rPr>
          <w:lang w:val="el" w:eastAsia="el"/>
        </w:rPr>
      </w:pPr>
      <w:r>
        <w:rPr>
          <w:lang w:val="el" w:eastAsia="el"/>
        </w:rPr>
        <w:t>7. Τις διατάξεις του ν. 3852/2010 «Νέα Αρχιτεκτονική της Αυτοδιοίκησης και της Αποκεντρωμένης Διοίκησης -Πρόγραμμα Καλλικράτης» (Α' 87) και ιδίως του άρθρου 160.</w:t>
      </w:r>
    </w:p>
    <w:p>
      <w:pPr>
        <w:pStyle w:val="PreambelText"/>
        <w:spacing w:before="240" w:after="240"/>
        <w:rPr>
          <w:lang w:val="el" w:eastAsia="el"/>
        </w:rPr>
      </w:pPr>
      <w:r>
        <w:rPr>
          <w:lang w:val="el" w:eastAsia="el"/>
        </w:rPr>
        <w:t>8. Το άρθρο 10 του ν. 2576/1998 «Βελτίωση των διαδικασιών για την ανάθεση της κατασκευής των δημοσίων έργων και άλλες διατάξεις» (Α' 25), όπως τροποποιήθηκε με το άρθρο 84 του ν. 4313/2014 (Α' 261).</w:t>
      </w:r>
    </w:p>
    <w:p>
      <w:pPr>
        <w:pStyle w:val="PreambelText"/>
        <w:spacing w:before="240" w:after="240"/>
        <w:rPr>
          <w:lang w:val="el" w:eastAsia="el"/>
        </w:rPr>
      </w:pPr>
      <w:r>
        <w:rPr>
          <w:lang w:val="el" w:eastAsia="el"/>
        </w:rPr>
        <w:t>9. Το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 σε συνδυασμό με 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 139).</w:t>
      </w:r>
    </w:p>
    <w:p>
      <w:pPr>
        <w:pStyle w:val="PreambelText"/>
        <w:spacing w:before="240" w:after="240"/>
        <w:rPr>
          <w:lang w:val="el" w:eastAsia="el"/>
        </w:rPr>
      </w:pPr>
      <w:r>
        <w:rPr>
          <w:lang w:val="el" w:eastAsia="el"/>
        </w:rPr>
        <w:t>10. Το π.δ. 79/2023 «Διορισμός Υπουργών, Αναπληρωτών Υπουργών και Υφυπουργών» (Α' 131).</w:t>
      </w:r>
    </w:p>
    <w:p>
      <w:pPr>
        <w:pStyle w:val="PreambelText"/>
        <w:spacing w:before="240" w:after="240"/>
        <w:rPr>
          <w:lang w:val="el" w:eastAsia="el"/>
        </w:rPr>
      </w:pPr>
      <w:r>
        <w:rPr>
          <w:lang w:val="el" w:eastAsia="el"/>
        </w:rPr>
        <w:t>11. Το π.δ. 80/2016 «Ανάληψη υποχρεώσεων από τους διατάκτες» (Α' 145).</w:t>
      </w:r>
    </w:p>
    <w:p>
      <w:pPr>
        <w:pStyle w:val="PreambelText"/>
        <w:spacing w:before="240" w:after="240"/>
        <w:rPr>
          <w:lang w:val="el" w:eastAsia="el"/>
        </w:rPr>
      </w:pPr>
      <w:r>
        <w:rPr>
          <w:lang w:val="el" w:eastAsia="el"/>
        </w:rPr>
        <w:t>12. Το άρθρο 90 του Κώδικα της νομοθεσίας για την Κυβέρνηση και τα κυβερνητικά όργανα (π.δ. 63/2005, Α' 98), σε συνδυασμό με την περ. 22 του άρθρου 119 του ν. 4622/2019 (Α' 133).</w:t>
      </w:r>
    </w:p>
    <w:p>
      <w:pPr>
        <w:pStyle w:val="PreambelText"/>
        <w:spacing w:before="240" w:after="240"/>
        <w:rPr>
          <w:lang w:val="el" w:eastAsia="el"/>
        </w:rPr>
      </w:pPr>
      <w:r>
        <w:rPr>
          <w:lang w:val="el" w:eastAsia="el"/>
        </w:rPr>
        <w:t>13. α) Την παρ. 2β του άρθρου 107 της Συνθήκης για τη λειτουργία της Ευρωπαϊκής Ένωσης (επίσημη εφημερίδα της Ευρωπαϊκής Ένωσης C326/26-10-2012), σύμφωνα με την οποία «Συμβιβάζονται με την εσωτερική αγορά οι ενισχύσεις για την επανόρθωση ζημιών που προκαλούνται από θεομηνίες ή άλλα έκτακτα γεγονότα».</w:t>
      </w:r>
    </w:p>
    <w:p>
      <w:pPr>
        <w:pStyle w:val="StructureList1"/>
        <w:spacing w:before="120" w:after="0"/>
        <w:rPr>
          <w:lang w:val="el" w:eastAsia="el"/>
        </w:rPr>
      </w:pPr>
      <w:r>
        <w:rPr>
          <w:lang w:val="el" w:eastAsia="el"/>
        </w:rPr>
        <w:t>β)</w:t>
      </w:r>
      <w:r>
        <w:rPr>
          <w:lang w:val="en" w:eastAsia="en"/>
        </w:rPr>
        <w:tab/>
      </w:r>
      <w:r>
        <w:rPr>
          <w:lang w:val="el" w:eastAsia="el"/>
        </w:rPr>
        <w:t>Τον Κανονισμό (ΕΕ)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για τη λειτουργία της Ευρωπαϊκής Ένωσης (ΕΕ L 187/ 26-6-2014 σ. 1), όπως ισχύει, και ιδίως τα άρθρα 7, 9, 11, 12 και 50 αυτού.</w:t>
      </w:r>
    </w:p>
    <w:p>
      <w:pPr>
        <w:pStyle w:val="StructureList1"/>
        <w:spacing w:before="120" w:after="0"/>
        <w:rPr>
          <w:lang w:val="el" w:eastAsia="el"/>
        </w:rPr>
      </w:pPr>
      <w:r>
        <w:rPr>
          <w:lang w:val="el" w:eastAsia="el"/>
        </w:rPr>
        <w:t>γ)</w:t>
      </w:r>
      <w:r>
        <w:rPr>
          <w:lang w:val="en" w:eastAsia="en"/>
        </w:rPr>
        <w:tab/>
      </w:r>
      <w:r>
        <w:rPr>
          <w:lang w:val="el" w:eastAsia="el"/>
        </w:rPr>
        <w:t>Τον Κανονισμό (ΕΕ) 2022/2472 της Επιτροπής της 14ης Δεκεμβρίου 2022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(ΕΕ L 327/21-12-2022 σ. 1), και ιδίως τα άρθρα 7, 9, 11, 13 και 37 αυτού.</w:t>
      </w:r>
    </w:p>
    <w:p>
      <w:pPr>
        <w:pStyle w:val="StructureList1"/>
        <w:spacing w:before="120" w:after="0"/>
        <w:rPr>
          <w:lang w:val="el" w:eastAsia="el"/>
        </w:rPr>
      </w:pPr>
      <w:r>
        <w:rPr>
          <w:lang w:val="el" w:eastAsia="el"/>
        </w:rPr>
        <w:t>δ)</w:t>
      </w:r>
      <w:r>
        <w:rPr>
          <w:lang w:val="en" w:eastAsia="en"/>
        </w:rPr>
        <w:tab/>
      </w:r>
      <w:r>
        <w:rPr>
          <w:lang w:val="el" w:eastAsia="el"/>
        </w:rPr>
        <w:t>Τον ορισμό της «Επιχείρησης» σύμφωνα με το άρθρο 1 του Παραρτήματος Ι του Κανονισμού (ΕΕ) 651/2014 και του Κανονισμού (ΕΕ) 2022/2472 «Επιχείρηση θεωρείται κάθε οντότητα, ανεξάρτητα από τη νομική της μορφή, που ασκεί οικονομική δραστηριότητα. Σε αυτές περιλαμβάνονται ειδικότερα αυτοαπασχολούμενα άτομα και οικογενειακές επιχειρήσεις που ασκούν βιοτεχνική ή άλλη δραστηριότητα, καθώς και προσωπικές εταιρείες ή ενώσεις προσώπων που ασκούν τακτικά μια οικονομική δραστηριότητα».</w:t>
      </w:r>
    </w:p>
    <w:p>
      <w:pPr>
        <w:pStyle w:val="PreambelText"/>
        <w:spacing w:before="240" w:after="240"/>
        <w:rPr>
          <w:lang w:val="el" w:eastAsia="el"/>
        </w:rPr>
      </w:pPr>
      <w:r>
        <w:rPr>
          <w:lang w:val="el" w:eastAsia="el"/>
        </w:rPr>
        <w:t>14. Την υπό στοιχεία ΥΠ 512/10.07.2023 κοινή απόφαση του Πρωθυπουργού και του Υπουργού Κλιματικής Κρίσης και Πολιτικής Προστασίας «Ανάθεση αρμοδιοτήτων στον Υφυπουργό Κλιματικής Κρίσης και Πολιτικής Προστασίας, Χρήστο Τριαντόπουλο» (Β' 4438).</w:t>
      </w:r>
    </w:p>
    <w:p>
      <w:pPr>
        <w:pStyle w:val="PreambelText"/>
        <w:spacing w:before="240" w:after="240"/>
        <w:rPr>
          <w:lang w:val="el" w:eastAsia="el"/>
        </w:rPr>
      </w:pPr>
      <w:r>
        <w:rPr>
          <w:lang w:val="el" w:eastAsia="el"/>
        </w:rPr>
        <w:t>15. Την υπό στοιχεία 78066 ΕΞ 2023/18.5.2023 απόφαση του Υπουργού Οικονομικών «Χορήγηση ενίσχυσης με τη μορφή προκαταβολής για την αποζημίωση των πληγέντων από τις πλημμύρες της 15ης Οκτωβρίου 2022 σε περιοχές του Δήμου Σητείας της Περιφερειακής Ενότητας Λασιθίου της Περιφέρειας Κρήτης» (Β' 3377).</w:t>
      </w:r>
    </w:p>
    <w:p>
      <w:pPr>
        <w:pStyle w:val="PreambelText"/>
        <w:spacing w:before="240" w:after="240"/>
        <w:rPr>
          <w:lang w:val="el" w:eastAsia="el"/>
        </w:rPr>
      </w:pPr>
      <w:r>
        <w:rPr>
          <w:lang w:val="el" w:eastAsia="el"/>
        </w:rPr>
        <w:t>16. Την υπό στοιχεία 13944/09.08.2023 απόφαση του Υφυπουργού Κλιματικής Κρίσης και Πολιτικής Προστασίας «Χορήγηση ενίσχυσης με τη μορφή προκαταβολής (2 η) για την αποζημίωση των πληγέντων από τις πλημμύρες της 15ης Οκτωβρίου 2022 σε περιοχές του Δήμου Σητείας της Περιφερειακής Ενότητας Λασιθίου της Περιφέρειας Κρήτης» (Β' 5019).</w:t>
      </w:r>
    </w:p>
    <w:p>
      <w:pPr>
        <w:pStyle w:val="PreambelText"/>
        <w:spacing w:before="240" w:after="240"/>
        <w:rPr>
          <w:lang w:val="el" w:eastAsia="el"/>
        </w:rPr>
      </w:pPr>
      <w:r>
        <w:rPr>
          <w:lang w:val="el" w:eastAsia="el"/>
        </w:rPr>
        <w:t>17. Την υπό στοιχεία 358192/Δ.Α.Ε.Φ.Κ.-Κ.Ε/Α325/ 14.11.2022 κοινή απόφαση των Υπουργών Οικονομικών, Ανάπτυξης και Επενδύσεων, Εσωτερικών και Υποδομών και Μεταφορών «Οριοθέτηση περιοχών και χορήγηση Στεγαστικής Συνδρομής για την αποκατάσταση των ζημιών σε κτίρια από τις πλημμύρες της 15ης Οκτωβρίου 2022 σε περιοχές α) των Δήμων Ηρακλείου, Μαλεβιζίου και Χερσονήσου της Περιφερειακής Ενότητας Ηρακλείου, β) του Δήμου Σητείας της Περιφερειακής Ενότητας Λασιθίου και γ) του Δήμου Χανίων της Περιφερειακής Ενότητας Χανίων, της Περιφέρειας Κρήτης» (Β' 5942).</w:t>
      </w:r>
    </w:p>
    <w:p>
      <w:pPr>
        <w:pStyle w:val="PreambelText"/>
        <w:spacing w:before="240" w:after="240"/>
        <w:rPr>
          <w:lang w:val="el" w:eastAsia="el"/>
        </w:rPr>
      </w:pPr>
      <w:r>
        <w:rPr>
          <w:lang w:val="el" w:eastAsia="el"/>
        </w:rPr>
        <w:t>18. Την υπό στοιχεία 154987 ΕΞ 2022/24.10.2022 κοινή απόφαση των Υπουργών Οικονομικών, Ανάπτυξης και Επενδύσεων, Αγροτικής Ανάπτυξης και Τροφίμων και Επικρατείας «Διαδικασία χορήγησης εφάπαξ έκτακτης οικονομικής ενίσχυσης, ως πρώτης αρωγής, έναντι επιχορήγησης για την αντιμετώπιση ζημιών, σε επιχειρήσεις και μη κερδοσκοπικού χαρακτήρα φορείς που επλήγησαν από τις πλημμύρες που εκδηλώθηκαν την 15η Οκτωβρίου 2022 σε περιοχές της Περιφέρειας Κρήτης» (Β' 5499), όπως ισχύει.</w:t>
      </w:r>
    </w:p>
    <w:p>
      <w:pPr>
        <w:pStyle w:val="PreambelText"/>
        <w:spacing w:before="240" w:after="240"/>
        <w:rPr>
          <w:lang w:val="el" w:eastAsia="el"/>
        </w:rPr>
      </w:pPr>
      <w:r>
        <w:rPr>
          <w:lang w:val="el" w:eastAsia="el"/>
        </w:rPr>
        <w:t>19. Την υπό στοιχεία 74617ΕΞ2021/23.06.2021 απόφαση του Υπουργού και του Υφυπουργού Οικονομικών «Ρύθμιση ειδικότερων θεμάτων επί των διαδικασιών επιχορήγησης επιχειρήσεων για θεομηνίες του ν. 4797/2021 (Α' 66)» (Β' 2670).</w:t>
      </w:r>
    </w:p>
    <w:p>
      <w:pPr>
        <w:pStyle w:val="PreambelText"/>
        <w:spacing w:before="240" w:after="240"/>
        <w:rPr>
          <w:lang w:val="el" w:eastAsia="el"/>
        </w:rPr>
      </w:pPr>
      <w:r>
        <w:rPr>
          <w:lang w:val="el" w:eastAsia="el"/>
        </w:rPr>
        <w:t>20. Την υπ' αρ. 1353/26.01.2024 (ΑΔΑ: ΨΖΝ6Η-Ω6Ο) απόφαση του Γενικού Γραμματέα Δημοσίων Επενδύσεων και Εταιρικού Συμφώνου για το πλαίσιο ανάπτυξης (ΕΣΠΑ) του Υπουργείου Εθνικής Οικονομίας και Οικονομικών.</w:t>
      </w:r>
    </w:p>
    <w:p>
      <w:pPr>
        <w:pStyle w:val="PreambelText"/>
        <w:spacing w:before="240" w:after="240"/>
        <w:rPr>
          <w:lang w:val="el" w:eastAsia="el"/>
        </w:rPr>
      </w:pPr>
      <w:r>
        <w:rPr>
          <w:lang w:val="el" w:eastAsia="el"/>
        </w:rPr>
        <w:t>21. Τις υπ' αρ. 4/25.5.2023 (ΑΔΑ: ΨΨΕΡΗ-ΨΕ5) και 6/12.09.2023 (ΑΔΑ: Ψ4ΟΙΗ-ΕΡ3) εντολές πληρωμής.</w:t>
      </w:r>
    </w:p>
    <w:p>
      <w:pPr>
        <w:pStyle w:val="PreambelText"/>
        <w:spacing w:before="240" w:after="240"/>
        <w:rPr>
          <w:lang w:val="el" w:eastAsia="el"/>
        </w:rPr>
      </w:pPr>
      <w:r>
        <w:rPr>
          <w:lang w:val="el" w:eastAsia="el"/>
        </w:rPr>
        <w:t>22. Τα υπ' αρ. 154477/16.05.2023, 217816/03.07.2023, 217836/03.07.2023 και 337997/11.10.2023 έγγραφα και το από 04.12.2023 ηλεκτρονικό μήνυμα της Περιφερειακής Ενότητας Λασιθίου της Περιφέρειας Κρήτης.</w:t>
      </w:r>
    </w:p>
    <w:p>
      <w:pPr>
        <w:pStyle w:val="PreambelText"/>
        <w:spacing w:before="240" w:after="240"/>
        <w:rPr>
          <w:lang w:val="el" w:eastAsia="el"/>
        </w:rPr>
      </w:pPr>
      <w:r>
        <w:rPr>
          <w:lang w:val="el" w:eastAsia="el"/>
        </w:rPr>
        <w:t>23. Την από 22.06.2022 εισήγηση της Κυβερνητικής Επιτροπής, για τη χορήγηση ανώτατου ορίου επιχορήγησης έως του ποσού των 120.000 ευρώ ανά δικαιούχο.</w:t>
      </w:r>
    </w:p>
    <w:p>
      <w:pPr>
        <w:pStyle w:val="PreambelText"/>
        <w:spacing w:before="240" w:after="240"/>
        <w:rPr>
          <w:lang w:val="el" w:eastAsia="el"/>
        </w:rPr>
      </w:pPr>
      <w:r>
        <w:rPr>
          <w:lang w:val="el" w:eastAsia="el"/>
        </w:rPr>
        <w:t>24. Την από 19.10.2022 εισήγηση της Κυβερνητικής Επιτροπής, για τη χορήγηση προκαταβολής σε ποσοστό 25% της εκτιμηθείσας ζημίας, τηρουμένου του ορίου των 120.000 ευρώ.</w:t>
      </w:r>
    </w:p>
    <w:p>
      <w:pPr>
        <w:pStyle w:val="PreambelText"/>
        <w:spacing w:before="240" w:after="240"/>
        <w:rPr>
          <w:lang w:val="el" w:eastAsia="el"/>
        </w:rPr>
      </w:pPr>
      <w:r>
        <w:rPr>
          <w:lang w:val="el" w:eastAsia="el"/>
        </w:rPr>
        <w:t>25. Το υπό στοιχεία 1555ΕΞ2024/04.01.2024 έγγραφο του Τμήματος Κρατικών Ενισχύσεων της Διεύθυνσης Εποπτευόμενων Φορέων της Γενικής Διεύθυνσης Οικονομικών Υπηρεσιών του Υπουργείου Εθνικής Οικονομίας και Οικονομικών.</w:t>
      </w:r>
    </w:p>
    <w:p>
      <w:pPr>
        <w:pStyle w:val="PreambelText"/>
        <w:spacing w:before="240" w:after="240"/>
        <w:rPr>
          <w:lang w:val="el" w:eastAsia="el"/>
        </w:rPr>
      </w:pPr>
      <w:r>
        <w:rPr>
          <w:lang w:val="el" w:eastAsia="el"/>
        </w:rPr>
        <w:t>26. Την ανάγκη στήριξης των επιχειρήσεων που είναι εγκατεστημένες και λειτουργούν σε περιοχές της Περιφερειακής Ενότητας Λασιθίου της Περιφέρειας Κρήτης και επλήγησαν από τις πλημμύρες της 15ης Οκτωβρίου 2022.</w:t>
      </w:r>
    </w:p>
    <w:p>
      <w:pPr>
        <w:pStyle w:val="PreambelText"/>
        <w:spacing w:before="240" w:after="240"/>
        <w:rPr>
          <w:lang w:val="el" w:eastAsia="el"/>
        </w:rPr>
      </w:pPr>
      <w:r>
        <w:rPr>
          <w:lang w:val="el" w:eastAsia="el"/>
        </w:rPr>
        <w:t>27. Την υπό στοιχεία 16293ΕΞ2024/31.01.2024 εισήγηση της Γενικής Διεύθυνσης Οικονομικών Υπηρεσιών του Υπουργείου Εθνικής Οικονομίας και Οικονομικών.</w:t>
      </w:r>
    </w:p>
    <w:p>
      <w:pPr>
        <w:pStyle w:val="PreambelText"/>
        <w:spacing w:before="240" w:after="240"/>
        <w:rPr>
          <w:lang w:val="el" w:eastAsia="el"/>
        </w:rPr>
      </w:pPr>
      <w:r>
        <w:rPr>
          <w:lang w:val="el" w:eastAsia="el"/>
        </w:rPr>
        <w:t xml:space="preserve">28. Το γεγονός ότι, από τις διατάξεις της παρούσας δεν προκαλείται επιπλέον δαπάνη στον κρατικό προϋπολογισμό πέραν της δαπάνης ύψους 410.890,00 ευρώ περίπου, κατ' ανώτατο όριο, σε βάρος του Προϋπολογισμού Δημοσίων Επενδύσεων του Υπουργείου Εθνικής Οικονομίας και Οικονομικών (ΣΑΝΑ 851 ΚΩΔ. ΕΡΓΟΥ 2022ΝΑ85100004), η οποία καλύπτεται από την υπ' αρ. 1353/26.01.2024 απόφαση του Γενικού Γραμματέα Δημοσίων Επενδύσεων και Εταιρικού Συμφώνου για το πλαίσιο ανάπτυξης (ΕΣΠΑ) του Υπουργείου Εθνικής Οικονομίας και Οικονομικών (ΑΔΑ: ΨΖΝ6Η-Ω6Ο). Μέρος της ανωτέρω δαπάνης ύψους 366.410,00 ευρώ περίπου εμπίπτει στις διατάξεις του Κανονισμού (ΕΕ) αριθ. 651/2014 και μέρος ύψους 44.480,00 ευρώ περίπου εμπίπτει στις διατάξεις του Κανονισμού (ΕΕ) αριθ. 2022/2472, </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μόνο</w:t>
      </w:r>
    </w:p>
    <w:p>
      <w:pPr>
        <w:pStyle w:val="MainText"/>
        <w:spacing w:before="120" w:after="0"/>
        <w:rPr>
          <w:lang w:val="el" w:eastAsia="el"/>
        </w:rPr>
      </w:pPr>
      <w:r>
        <w:rPr>
          <w:b/>
          <w:bCs/>
          <w:lang w:val="el" w:eastAsia="el"/>
        </w:rPr>
        <w:t>1.</w:t>
      </w:r>
      <w:r>
        <w:rPr>
          <w:lang w:val="el" w:eastAsia="el"/>
        </w:rPr>
        <w:t xml:space="preserve"> Παρέχεται επιχορήγηση για την αντιμετώπιση των ζημιών που προκλήθηκαν από τις πλημμύρες της 15ης Οκτωβρίου 2022, σε περιοχές του Δήμου Σητείας της Περιφερειακής Ενότητας Λασιθίου της Περιφέρειας Κρήτης, οι οποίες έχουν οριοθετηθεί με την υπό στοιχεία 358192/Δ.Α.Ε.Φ.Κ.-Κ.Ε/Α325/14.11.2022 κοινή απόφαση των Υπουργών Οικονομικών, Ανάπτυξης και Επενδύσεων, Εσωτερικών και Υποδομών και Μεταφορών, σύμφωνα με τις διατάξεις του ν. 4797/2021, ιδίως των άρθρων 4, 6,7,8,9,11, 22 και 24 του νόμου αυτού και των Κανονισμών (ΕΕ) αριθ. 651/2014 και 2022/2472.</w:t>
      </w:r>
    </w:p>
    <w:p>
      <w:pPr>
        <w:pStyle w:val="MainText"/>
        <w:spacing w:before="120" w:after="0"/>
        <w:rPr>
          <w:lang w:val="el" w:eastAsia="el"/>
        </w:rPr>
      </w:pPr>
      <w:r>
        <w:rPr>
          <w:b/>
          <w:bCs/>
          <w:lang w:val="el" w:eastAsia="el"/>
        </w:rPr>
        <w:t>2.</w:t>
      </w:r>
      <w:r>
        <w:rPr>
          <w:lang w:val="el" w:eastAsia="el"/>
        </w:rPr>
        <w:t xml:space="preserve"> Η επιχορήγηση παρέχεται για την αντιμετώπιση ζημιών των επιχειρήσεων, οι οποίες έχουν καταγραφεί από τις αρμόδιες Επιτροπές Κρατικής Αρωγής της Περιφέρειας σύμφωνα με το υπ' αρ. 22 έγγραφο του προοιμίου και καλύπτει στοιχεία ενεργητικού, όπως εξοπλισμό, πρώτες ύλες, εμπορεύματα, φορτηγά αυτοκίνητα δημόσιας και ιδιωτικής χρήσης καθώς και επαγγελματικά αυτοκίνητα, μέσα παραγωγής συμπεριλαμβανομένου του εγγείου κεφαλαίου και αποθηκευμένα προϊόντα, τα οποία κατεγράφησαν ως κατεστραμμένα.</w:t>
      </w:r>
    </w:p>
    <w:p>
      <w:pPr>
        <w:pStyle w:val="MainText"/>
        <w:spacing w:before="120" w:after="0"/>
        <w:rPr>
          <w:lang w:val="el" w:eastAsia="el"/>
        </w:rPr>
      </w:pPr>
      <w:r>
        <w:rPr>
          <w:b/>
          <w:bCs/>
          <w:lang w:val="el" w:eastAsia="el"/>
        </w:rPr>
        <w:t>3.</w:t>
      </w:r>
      <w:r>
        <w:rPr>
          <w:lang w:val="el" w:eastAsia="el"/>
        </w:rPr>
        <w:t xml:space="preserve"> Η επιχορήγηση συνίσταται σε δωρεάν χρηματική ενίσχυση του Δημοσίου και είναι ίση με το μέρος του συνόλου, της κατά περίπτωση εκτιμηθείσας ζημίας, από την αρμόδια Επιτροπή Κρατικής Αρωγής της Περιφέρειας και δεν υπερβαίνει συνολικά το ανώτατο όριο ποσού των 120.000 ευρώ ανά δικαιούχο. Το ύψος της ενίσχυσης υπολογίζεται κλιμακωτά ως εξής:</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α)</w:t>
      </w:r>
      <w:r>
        <w:rPr>
          <w:lang w:val="en" w:eastAsia="en"/>
        </w:rPr>
        <w:tab/>
      </w:r>
      <w:r>
        <w:rPr>
          <w:lang w:val="el" w:eastAsia="el"/>
        </w:rPr>
        <w:t>Για εκτιμηθείσα ζημία μέχρι και 10.000 ευρώ, υπολογίζεται ποσό ενίσχυσης ίσο με το 70% αυτής,</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β)</w:t>
      </w:r>
      <w:r>
        <w:rPr>
          <w:lang w:val="en" w:eastAsia="en"/>
        </w:rPr>
        <w:tab/>
      </w:r>
      <w:r>
        <w:rPr>
          <w:lang w:val="el" w:eastAsia="el"/>
        </w:rPr>
        <w:t>για εκτιμηθείσα ζημιά από 10.001 ευρώ ως και 20.000 ευρώ, υπολογίζεται ποσό ενίσχυσης ίσο με το 50% αυτής και</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γ)</w:t>
      </w:r>
      <w:r>
        <w:rPr>
          <w:lang w:val="en" w:eastAsia="en"/>
        </w:rPr>
        <w:tab/>
      </w:r>
      <w:r>
        <w:rPr>
          <w:lang w:val="el" w:eastAsia="el"/>
        </w:rPr>
        <w:t>για εκτιμηθείσα ζημιά από 20.001 ευρώ και άνω, υπολογίζεται ποσό ενίσχυσης ίσο με το 30% αυτής.</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Σε περίπτωση που κατά την προσκόμιση των δικαιολογητικών της υπό στοιχεία 74617ΕΞ2021/23.06.2021 (Β’ 2670) απόφασης προκύπτει ότι ο δικαιούχος είναι μη κατά κύριο επάγγελμα αγρότης κάτοχος αγροτικής εκμετάλλευσης, όπως αυτό προσδιορίζεται από το Μητρώο Αγροτών και Αγροτικών Εκμεταλλεύσεων (ΜΑΑΕ) του Υπουργείου Αγροτικής Ανάπτυξης και Τροφίμων, εφαρμόζονται τα οριζόμενα στην περ. β της παρ. 2 του άρθρου μόνου της υπ’ αρ. 11908/27.02.2025 απόφασης (Β’ 905) ως προς το ποσοστό της επιχορήγησης, το οποίο ανέρχεται στο 50% της ως άνω επιχορήγησης, ήτοι:</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α)</w:t>
      </w:r>
      <w:r>
        <w:rPr>
          <w:lang w:val="en" w:eastAsia="en"/>
        </w:rPr>
        <w:tab/>
      </w:r>
      <w:r>
        <w:rPr>
          <w:lang w:val="el" w:eastAsia="el"/>
        </w:rPr>
        <w:t>Για εκτιμηθείσα ζημία μέχρι και 10.000 ευρώ, υπολογίζεται ποσό ενίσχυσης ίσο με το 35% αυτής,</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για εκτιμηθείσα ζημία από 10.001 ευρώ ως και 20.1 ευρώ, υπολογίζεται ποσό ενίσχυσης ίσο με το 25% αυτής και</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γ)</w:t>
      </w:r>
      <w:r>
        <w:rPr>
          <w:lang w:val="en" w:eastAsia="en"/>
        </w:rPr>
        <w:tab/>
      </w:r>
      <w:r>
        <w:rPr>
          <w:lang w:val="el" w:eastAsia="el"/>
        </w:rPr>
        <w:t>για εκτιμηθείσα ζημία από 20.001 ευρώ και άνω, υπολογίζεται ποσό ενίσχυσης ίσο με το 15% αυτής.</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Ειδικά για τις επιχειρήσεις οι οποίες έχουν ασφαλιστήριο συμβόλαιο, η επιχορήγηση είναι ίση με το ποσό που θα προκύψει κατά τα ανωτέρω μετά την αφαίρεση από την εκτιμηθείσα ζημία του καταβλητέου ποσού ασφαλιστικής αποζημίωσης. Σε κάθε περίπτωση, για την καταβολή της τελικής επιχορήγησης απαιτείται η ολοκλήρωση της διαδικασίας προσδιορισμού του ποσού της ασφαλιστικής αποζημίωσης που θα καταβληθεί βάσει του ασφαλιστηρίου συμβολαίου.</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Από το σύνολο της επιχορήγησης αφαιρείται:</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α)</w:t>
      </w:r>
      <w:r>
        <w:rPr>
          <w:lang w:val="en" w:eastAsia="en"/>
        </w:rPr>
        <w:tab/>
      </w:r>
      <w:r>
        <w:rPr>
          <w:lang w:val="el" w:eastAsia="el"/>
        </w:rPr>
        <w:t>Τυχόν προκαταβολή που έχει λάβει σύμφωνα με τις υπό στοιχεία 78066 ΕΞ 2023/18.5.2023 (Β’ 3377) και 13944/09.08.2023 αποφάσεις του Υπουργού Οικονομικών και τις υπ’ αρ. 4/25.5.2023 (ΑΔΑ:ΨΨΕΡΗΨΕ5) και 6/12.09.2023 (Ψ4ΟΙΗ-ΕΡ3) εντολές πληρωμής και</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β)</w:t>
      </w:r>
      <w:r>
        <w:rPr>
          <w:lang w:val="en" w:eastAsia="en"/>
        </w:rPr>
        <w:tab/>
      </w:r>
      <w:r>
        <w:rPr>
          <w:lang w:val="el" w:eastAsia="el"/>
        </w:rPr>
        <w:t>τυχόν πρώτη αρωγή που έχει λάβει ο δικαιούχος σύμφωνα με την υπό στοιχεία 154987 ΕΞ 2022/24.10.2022 κοινή υπουργική απόφαση (Β’ 5499).</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4.</w:t>
      </w:r>
      <w:r>
        <w:rPr>
          <w:lang w:val="el" w:eastAsia="el"/>
        </w:rPr>
        <w:t xml:space="preserve"> Η επιχορήγηση καταβάλλεται εντός τεσσάρων (4) ετών από την ημερομηνία εκδήλωσης της θεομηνίας, σύμφωνα με την παρ. 3 του άρθρου 50 του Κανονισμού (ΕΕ) 651/2014 και με την παρ. 4 του άρθρου 37 του Κανονισμού (ΕΕ) 2022/2472.</w:t>
      </w:r>
    </w:p>
    <w:p>
      <w:pPr>
        <w:pStyle w:val="MainText"/>
        <w:spacing w:before="120" w:after="0"/>
        <w:rPr>
          <w:lang w:val="el" w:eastAsia="el"/>
        </w:rPr>
      </w:pPr>
      <w:r>
        <w:rPr>
          <w:b/>
          <w:bCs/>
          <w:lang w:val="el" w:eastAsia="el"/>
        </w:rPr>
        <w:t>5.</w:t>
      </w:r>
      <w:r>
        <w:rPr>
          <w:lang w:val="el" w:eastAsia="el"/>
        </w:rPr>
        <w:t xml:space="preserve"> Όταν η δικαιούχος ενιαία επιχείρηση λάβει συνολική επιχορήγηση άνω των ορίων που τίθενται στο άρθρο 9 του Κανονισμού (ΕΕ) 651/2014 και του Κανονισμού (ΕΕ) 2022/2472, οι αρμόδιες για τις κρατικές ενισχύσεις υπηρεσίες της αρμόδιας Γενικής Διεύθυνσης Οικονομικών Υπηρεσιών (ΓΔΟΥ) δημοσιεύουν τις πληροφορίες που αναφέρονται στο Παράρτημα III των εν λόγω Κανονισμών, σε εμπεριστατωμένο δικτυακό τόπο της Ευρωπαϊκής Επιτροπής για τις κρατικές ενισχύσεις (Transparency Award Module -TAM, https://webgate.ec.europa.eu/competition/transparency/public/search/home/), για λόγους διαφάνειας, το αργότερο εντός έξι (6) μηνών από την ημερομηνία χορήγησής της, κατά τα προβλεπόμενα στο άρθρο 32 του ν. 5000/2022 (Α' 226), όπως ισχύει.</w:t>
      </w:r>
    </w:p>
    <w:p>
      <w:pPr>
        <w:pStyle w:val="MainText"/>
        <w:spacing w:before="120" w:after="0"/>
        <w:rPr>
          <w:lang w:val="el" w:eastAsia="el"/>
        </w:rPr>
      </w:pPr>
      <w:r>
        <w:rPr>
          <w:b/>
          <w:bCs/>
          <w:lang w:val="el" w:eastAsia="el"/>
        </w:rPr>
        <w:t>6.</w:t>
      </w:r>
      <w:r>
        <w:rPr>
          <w:lang w:val="el" w:eastAsia="el"/>
        </w:rPr>
        <w:t xml:space="preserve"> Για την καταβολή της επιχορήγησης απαιτείται εντός προθεσμίας δύο μηνών από την έκδοση της παρούσης, η προσκόμιση των δικαιολογητικών της παρ. 1 του άρθρου 5 της υπό στοιχεία 74617ΕΞ2021/23.06.2021 (Β' 2670, ΑΔΑ: 68ΦΓΗ-ΧΟΨ) απόφασης του Υπουργού και του Υφυπουργού Οικονομικών, όπως ισχύει.</w:t>
      </w:r>
    </w:p>
    <w:p>
      <w:pPr>
        <w:pStyle w:val="MainText"/>
        <w:spacing w:before="120" w:after="0"/>
        <w:rPr>
          <w:lang w:val="el" w:eastAsia="el"/>
        </w:rPr>
      </w:pPr>
      <w:r>
        <w:rPr>
          <w:b/>
          <w:bCs/>
          <w:lang w:val="el" w:eastAsia="el"/>
        </w:rPr>
        <w:t>7.</w:t>
      </w:r>
      <w:r>
        <w:rPr>
          <w:lang w:val="el" w:eastAsia="el"/>
        </w:rPr>
        <w:t xml:space="preserve"> Η βεβαίωση περί του ύψους των ζημιών παρέχεται από την αρμόδια Υπηρεσία της Περιφέρειας με βάση τις ζημιές που κατέγραψαν οι αρμόδιες επιτροπές. Από το ύψος της εκτιμηθείσας ζημίας αφαιρείται τυχόν ασφαλιστική αποζημίωση που έλαβε ή πρόκειται να λάβει ο δικαιούχος. Σε κάθε περίπτωση, για την καταβολή της επιχορήγησης απαιτείται η ολοκλήρωση του προσδιορισμού του ποσού της ζημίας που καταβάλλεται από ασφαλιστήριο συμβόλαιο.</w:t>
      </w:r>
    </w:p>
    <w:p>
      <w:pPr>
        <w:pStyle w:val="MainText"/>
        <w:spacing w:before="120" w:after="0"/>
        <w:rPr>
          <w:lang w:val="el" w:eastAsia="el"/>
        </w:rPr>
      </w:pPr>
      <w:r>
        <w:rPr>
          <w:b/>
          <w:bCs/>
          <w:lang w:val="el" w:eastAsia="el"/>
        </w:rPr>
        <w:t>8.</w:t>
      </w:r>
      <w:r>
        <w:rPr>
          <w:lang w:val="el" w:eastAsia="el"/>
        </w:rPr>
        <w:t xml:space="preserve"> Μετά την ολοκλήρωση της συγκέντρωσης των στοιχείων του φακέλου, ο φάκελος διαβιβάζεται από την αρμόδια Διεύθυνση Κρατικής Αρωγής της Γενικής Γραμματείας Αποκατάστασης Φυσικών Καταστροφών και Κρατικής Αρωγής στην αρμόδια ΓΔΟΥ, συνοδευόμενος από την αναλυτική κατάσταση των πληγεισών επιχειρήσεων της παρ. 4 του άρθρου 5 της υπό στοιχεία 74617ΕΞ2021/23.06.2021 (Β' 2670) κοινής απόφασης του Υπουργού και του Υφυπουργού Οικονομικών, όπως ισχύει, σε ηλεκτρονική μορφή.</w:t>
      </w:r>
    </w:p>
    <w:p>
      <w:pPr>
        <w:pStyle w:val="MainText"/>
        <w:spacing w:before="120" w:after="0"/>
        <w:rPr>
          <w:lang w:val="el" w:eastAsia="el"/>
        </w:rPr>
      </w:pPr>
      <w:r>
        <w:rPr>
          <w:b/>
          <w:bCs/>
          <w:lang w:val="el" w:eastAsia="el"/>
        </w:rPr>
        <w:t>9.</w:t>
      </w:r>
      <w:r>
        <w:rPr>
          <w:lang w:val="el" w:eastAsia="el"/>
        </w:rPr>
        <w:t xml:space="preserve"> Η ΓΔΟΥ προβαίνει σε έλεγχο, εκκαθάριση και πληρωμή στους δικαιούχους του δικαιούμενου ποσού, αφαιρουμένου του τελικού καταβλητέου ποσού της προκαταβολής, το ποσό της οποίας ορίζεται στις υπό στοιχεία 78066 ΕΞ 2023/18.5.2023 (Β' 3377) και 13944/09.08.2023 αποφάσεις του Υπουργού Οικονομικών και τις υπ' αρ. 4/25.5.2023 (ΑΔΑ: ΨΨΕΡΗ-ΨΕ5) και 6/12.09.2023 (ΑΔΑ: Ψ4ΟΙΗ-ΕΡ3) εντολές πληρωμής, καθώς και του ποσού πρώτης αρωγής σύμφωνα με την υπό στοιχεία 154987 ΕΞ 2022/24.10.2022 (Β' 5499) κοινή υπουργική απόφαση, όπως ισχύει.</w:t>
      </w:r>
    </w:p>
    <w:p>
      <w:pPr>
        <w:pStyle w:val="MainText"/>
        <w:spacing w:before="120" w:after="0"/>
        <w:rPr>
          <w:lang w:val="el" w:eastAsia="el"/>
        </w:rPr>
      </w:pPr>
      <w:r>
        <w:rPr>
          <w:b/>
          <w:bCs/>
          <w:lang w:val="el" w:eastAsia="el"/>
        </w:rPr>
        <w:t>10.</w:t>
      </w:r>
      <w:r>
        <w:rPr>
          <w:lang w:val="el" w:eastAsia="el"/>
        </w:rPr>
        <w:t xml:space="preserve"> Τα δικαιολογητικά της παρ. 6 τηρούνται στην αρμόδια Διεύθυνση της Γενικής Γραμματείας Αποκατάστασης Φυσικών Καταστροφών και Κρατικής Αρωγής του Υπουργείου Κλιματικής Κρίσης και Πολιτικής Προστασίας για δέκα (10) έτη από την ημερομηνία καταβολής της επιχορήγησης.</w:t>
      </w:r>
    </w:p>
    <w:p>
      <w:pPr>
        <w:pStyle w:val="MainText"/>
        <w:spacing w:before="120" w:after="0"/>
        <w:rPr>
          <w:lang w:val="el" w:eastAsia="el"/>
        </w:rPr>
      </w:pPr>
      <w:r>
        <w:rPr>
          <w:b/>
          <w:bCs/>
          <w:lang w:val="el" w:eastAsia="el"/>
        </w:rPr>
        <w:t>11.</w:t>
      </w:r>
      <w:r>
        <w:rPr>
          <w:lang w:val="el" w:eastAsia="el"/>
        </w:rPr>
        <w:t xml:space="preserve"> Οι υπηρεσίες της Περιφέρειας υποχρεούνται να τηρούν για διάστημα πέντε (5) τουλάχιστον ετών το σύνολο των φακέλων και των σχετιζόμενων εγγράφων και δικαιολογητικών επιχορήγησης κάθε επιχείρησης για τους σκοπούς του ελέγχου του άρθρου 21 του ν. 4797/2021.</w:t>
      </w:r>
    </w:p>
    <w:p>
      <w:pPr>
        <w:pStyle w:val="MainText"/>
        <w:spacing w:before="120" w:after="0"/>
        <w:rPr>
          <w:lang w:val="el" w:eastAsia="el"/>
        </w:rPr>
      </w:pPr>
      <w:r>
        <w:rPr>
          <w:b/>
          <w:bCs/>
          <w:lang w:val="el" w:eastAsia="el"/>
        </w:rPr>
        <w:t>12.</w:t>
      </w:r>
      <w:r>
        <w:rPr>
          <w:lang w:val="el" w:eastAsia="el"/>
        </w:rPr>
        <w:t xml:space="preserve"> Κατά τα λοιπά εφαρμόζεται η υπό στοιχεία 74617ΕΞ2021/23.06.2021 (Β' 2670) απόφαση.</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Μαρούσι, 6 Φεβρουαρίου 2024</w:t>
      </w:r>
    </w:p>
    <w:p>
      <w:pPr>
        <w:spacing w:before="240" w:after="240"/>
        <w:rPr>
          <w:lang w:val="el" w:eastAsia="el"/>
        </w:rPr>
      </w:pPr>
      <w:r>
        <w:rPr>
          <w:lang w:val="el" w:eastAsia="el"/>
        </w:rPr>
        <w:t>Ο Υφυπουργός</w:t>
      </w:r>
    </w:p>
    <w:p>
      <w:pPr>
        <w:spacing w:before="240" w:after="240"/>
        <w:rPr>
          <w:lang w:val="el" w:eastAsia="el"/>
        </w:rPr>
      </w:pPr>
      <w:r>
        <w:rPr>
          <w:lang w:val="el" w:eastAsia="el"/>
        </w:rPr>
        <w:t>ΧΡΗΣΤΟΣ ΤΡΙΑΝΤΟΠΟΥΛΟΣ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37257/23-6-202523.6.2025</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37257/23-6-202523.6.2025</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37257/23-6-202523.6.2025</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37257/23-6-202523.6.2025</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37257/23-6-202523-6-2025</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37257/23-6-202523.6.2025</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37257/23-6-202523.6.2025</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37257/23-6-202523.6.2025</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37257/23-6-202523.6.2025</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37257/23-6-202523.6.2025</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37257/23-6-202523.6.2025</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37257/23-6-202523.6.2025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