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ΕΛΕΓΚΤΙΚΩΝ ΔΙΑΔΙΚΑΣΙΩΝ ΤΜΗΜΑ Α΄</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b/>
          <w:bCs/>
          <w:lang w:val="el" w:eastAsia="el"/>
        </w:rPr>
        <w:t>ΔΙΕΥΘΥΝΣΗ ΔΙΑΧΕΙΡΙΣΗΣ ΥΠΟΔΟΜΩΝ ΤΜΗΜΑ Ε΄</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 18346 Μοσχάτο</w:t>
      </w:r>
    </w:p>
    <w:p>
      <w:pPr>
        <w:pStyle w:val="PreambelText"/>
        <w:spacing w:before="240" w:after="240"/>
        <w:rPr>
          <w:lang w:val="el" w:eastAsia="el"/>
        </w:rPr>
      </w:pPr>
      <w:r>
        <w:rPr>
          <w:b/>
          <w:bCs/>
          <w:lang w:val="el" w:eastAsia="el"/>
        </w:rPr>
        <w:t>Κώδικας</w:t>
      </w:r>
    </w:p>
    <w:p>
      <w:pPr>
        <w:pStyle w:val="PreambelText"/>
        <w:spacing w:before="240" w:after="240"/>
        <w:rPr>
          <w:lang w:val="el" w:eastAsia="el"/>
        </w:rPr>
      </w:pPr>
      <w:r>
        <w:rPr>
          <w:b/>
          <w:bCs/>
          <w:lang w:val="el" w:eastAsia="el"/>
        </w:rPr>
        <w:t>Τηλέφωνο : 210-4802550</w:t>
      </w:r>
    </w:p>
    <w:p>
      <w:pPr>
        <w:pStyle w:val="PreambelText"/>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dieldi01@aade.gr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 .gr</w:t>
        </w:r>
      </w:hyperlink>
    </w:p>
    <w:p>
      <w:pPr>
        <w:pStyle w:val="PreambelText"/>
        <w:spacing w:before="240" w:after="240"/>
        <w:rPr>
          <w:lang w:val="el" w:eastAsia="el"/>
        </w:rPr>
      </w:pPr>
      <w:r>
        <w:rPr>
          <w:b/>
          <w:bCs/>
          <w:lang w:val="el" w:eastAsia="el"/>
        </w:rPr>
        <w:t>Θέμα: Τροποποίηση της υπό στοιχεία Α.1073/2023 απόφασης του Διοικητή της</w:t>
      </w:r>
    </w:p>
    <w:p>
      <w:pPr>
        <w:pStyle w:val="PreambelText"/>
        <w:spacing w:before="240" w:after="240"/>
        <w:rPr>
          <w:lang w:val="el" w:eastAsia="el"/>
        </w:rPr>
      </w:pPr>
      <w:r>
        <w:rPr>
          <w:b/>
          <w:bCs/>
          <w:lang w:val="el" w:eastAsia="el"/>
        </w:rPr>
        <w:t>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(Β΄4516 και Β΄4606).</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12 και 40 του ν.4308/2014 «Ελληνικά Λογιστικά Πρότυπα, συναφείς ρυθμίσεις και άλλες διατάξεις» (Α΄251),</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ΠΟΛ. 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Α.Υ.Ο.Ο. ΠΟΛ. 1015/10.1.2012 «Χρονικά όρια δυνατότητας διάθεσης ΦΗΜ και φορολογικών μνημών» (Β΄257),</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Α.Υ.Ο.Ο. ΠΟΛ. 1063/26.3.2008 «Απαγόρευση εισαγωγής/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(Β΄ 633), ζ) της υπό στοιχεία Α.Υ.Ο.Ο. ΠΟΛ. 1234/9.10.2002 «Τεχνικές προδιαγραφές φορολογικών ηλεκτρονικών μηχανισμών και συστημάτων» (Β΄1362),</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Α.1173/7.12.2022 απόφασης του Διοικητή της ΑΑΔΕ «Τροποποίηση τεχνικών προδιαγραφών ΦΗΜ» (Β’ 6953),</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Φ.Η.Μ.»(Β΄497),</w:t>
      </w:r>
    </w:p>
    <w:p>
      <w:pPr>
        <w:pStyle w:val="StructureList1"/>
        <w:spacing w:before="120" w:after="0"/>
        <w:rPr>
          <w:lang w:val="el" w:eastAsia="el"/>
        </w:rPr>
      </w:pPr>
      <w:r>
        <w:rPr>
          <w:b/>
          <w:bCs/>
          <w:lang w:val="el" w:eastAsia="el"/>
        </w:rPr>
        <w:t>ια)</w:t>
      </w:r>
      <w:r>
        <w:rPr>
          <w:b/>
          <w:bCs/>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και Β'4606),</w:t>
      </w:r>
    </w:p>
    <w:p>
      <w:pPr>
        <w:pStyle w:val="StructureList1"/>
        <w:spacing w:before="120" w:after="0"/>
        <w:rPr>
          <w:lang w:val="el" w:eastAsia="el"/>
        </w:rPr>
      </w:pPr>
      <w:r>
        <w:rPr>
          <w:b/>
          <w:bCs/>
          <w:lang w:val="el" w:eastAsia="el"/>
        </w:rPr>
        <w:t>ιβ)</w:t>
      </w:r>
      <w:r>
        <w:rPr>
          <w:b/>
          <w:bCs/>
          <w:lang w:val="en" w:eastAsia="en"/>
        </w:rPr>
        <w:tab/>
      </w:r>
      <w:r>
        <w:rPr>
          <w:b/>
          <w:bCs/>
          <w:lang w:val="el" w:eastAsia="el"/>
        </w:rPr>
        <w:t xml:space="preserve">της υπό στοιχεία Α. 1169/31.10.2023 απόφασης του Διοικητή της ΑΑΔΕ </w:t>
      </w:r>
      <w:r>
        <w:rPr>
          <w:b/>
          <w:bCs/>
          <w:lang w:val="el" w:eastAsia="el"/>
        </w:rPr>
        <w:t>[</w:t>
      </w:r>
      <w:r>
        <w:rPr>
          <w:b/>
          <w:bCs/>
          <w:lang w:val="el" w:eastAsia="el"/>
        </w:rPr>
        <w:t>Τροποποίηση 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και Β'4606) ], (Β΄6254), ιγ) της υπ΄αρ.1/20.1.2016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υπ΄αρ. 39/3/30.11.2017 (Υ.Ο.Δ.Δ. 689) απόφαση του Συμβουλίου Διοίκησης της ΑΑΔΕ και την υπό στοιχεία 5294ΕΞ2020/17.01.2020 απόφαση του Υπουργού</w:t>
      </w:r>
    </w:p>
    <w:p>
      <w:pPr>
        <w:pStyle w:val="PreambelText"/>
        <w:spacing w:before="240" w:after="240"/>
        <w:rPr>
          <w:lang w:val="el" w:eastAsia="el"/>
        </w:rPr>
      </w:pPr>
      <w:r>
        <w:rPr>
          <w:b/>
          <w:bCs/>
          <w:lang w:val="el" w:eastAsia="el"/>
        </w:rPr>
        <w:t>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2. </w:t>
      </w:r>
      <w:r>
        <w:rPr>
          <w:b/>
          <w:bCs/>
          <w:lang w:val="el" w:eastAsia="el"/>
        </w:rPr>
        <w:t>Την ανάγκη παροχής πρόσθετου χρόνου για τη διευκόλυνση των φορολογουμένων ως προς την εκπλήρωση της υποχρέωσης απόσυρσης και οριστικής παύσης χρήσης όλων των ΕΑΦΔΣΣ, στις οποίες περιλαμβάνονται και αυτές που χρησιμοποιούνται από τις οντότητες εστίασης, οι οποίες λειτουργούν με σερβίρισμα σε τραπεζοκαθίσματα, με σκοπό τη διασφάλιση της αυθεντικότητας και της ακεραιότητας των εκδιδόμενων στοιχείων λιανικής πώλησης, καθώς και την ασφαλή διαβίβαση δεδομένων στο Πληροφοριακό Σύστημα (ΠΣ) ΦΗΜ, σύμφωνα με τα οριζόμενα στην υπό στοιχεία Α.1173/2022 απόφαση του Διοικητή της ΑΑΔΕ.</w:t>
      </w:r>
    </w:p>
    <w:p>
      <w:pPr>
        <w:pStyle w:val="PreambelText"/>
        <w:spacing w:before="240" w:after="240"/>
        <w:rPr>
          <w:lang w:val="el" w:eastAsia="el"/>
        </w:rPr>
      </w:pPr>
      <w:r>
        <w:rPr>
          <w:b/>
          <w:bCs/>
          <w:lang w:val="el" w:eastAsia="el"/>
        </w:rPr>
        <w:t xml:space="preserve">3. </w:t>
      </w:r>
      <w:r>
        <w:rPr>
          <w:b/>
          <w:bCs/>
          <w:lang w:val="el" w:eastAsia="el"/>
        </w:rPr>
        <w:t>Το γεγονός ότι η απόφαση αυτή δεν προκαλεί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Α.1073/18.5.2023 απόφαση του Διοικητή της Α.Α.Δ.Ε. με θέμα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Εστιατορίου»(Β΄4516 και Β΄4606),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άρθρο 1 αντικαθίσταται ως εξής:</w:t>
      </w:r>
    </w:p>
    <w:p>
      <w:pPr>
        <w:spacing w:before="240" w:after="240"/>
        <w:rPr>
          <w:lang w:val="el" w:eastAsia="el"/>
        </w:rPr>
      </w:pPr>
      <w:r>
        <w:rPr>
          <w:b/>
          <w:bCs/>
          <w:lang w:val="el" w:eastAsia="el"/>
        </w:rPr>
        <w:t>«Άρθρο 1</w:t>
      </w:r>
    </w:p>
    <w:p>
      <w:pPr>
        <w:spacing w:before="240" w:after="240"/>
        <w:rPr>
          <w:lang w:val="el" w:eastAsia="el"/>
        </w:rPr>
      </w:pPr>
      <w:r>
        <w:rPr>
          <w:b/>
          <w:bCs/>
          <w:lang w:val="el" w:eastAsia="el"/>
        </w:rPr>
        <w:t>Απόσυρση από τη χρήση και οριστική παύση Ειδικών Ασφαλών Φορολογικών Διατάξεων Σήμανσης Στοιχείων (ΕΑΦΔΣΣ)</w:t>
      </w:r>
    </w:p>
    <w:p>
      <w:pPr>
        <w:spacing w:before="240" w:after="240"/>
        <w:rPr>
          <w:lang w:val="el" w:eastAsia="el"/>
        </w:rPr>
      </w:pPr>
      <w:r>
        <w:rPr>
          <w:b/>
          <w:bCs/>
          <w:lang w:val="el" w:eastAsia="el"/>
        </w:rPr>
        <w:t>Οι οντότητες που εκδίδουν τα λογιστικά τους στοιχεία με τη χρήση ΕΑΦΔΣΣ, σύμφωνα με τα οριζόμενα στην υπό στοιχεία ΠΟΛ. 1220/2012 (Β΄3517) απόφαση του Υφυπουργού Οικονομικών ή είναι κάτοχοι αυτών, παύουν τη χρήση αυτών έως και την 30.04.2024 και έχουν υποχρέωση υποβολής δήλωσης οριστικής παύσης τους. Οι ως άνω οντότητες από την 01.05.2024 και εφεξής έχουν την υποχρέωση χρήσης λοιπών τύπων ΦΗΜ ή υπηρεσιών Παρόχου ηλεκτρονικής έκδοσης στοιχείων λιανικής πώλησης.».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άρθρο 2 αντικαθίσταται ως εξής: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Παύση χρήσης απλών Φορολογικών Ηλεκτρονικών Μηχανισμών (ΦΗΜ) από τις οντότητες εστίασης που λειτουργούν με σερβίρισμα σε τραπεζοκαθίσματα.</w:t>
      </w:r>
    </w:p>
    <w:p>
      <w:pPr>
        <w:spacing w:before="240" w:after="240"/>
        <w:rPr>
          <w:lang w:val="el" w:eastAsia="el"/>
        </w:rPr>
      </w:pPr>
      <w:r>
        <w:rPr>
          <w:b/>
          <w:bCs/>
          <w:lang w:val="el" w:eastAsia="el"/>
        </w:rPr>
        <w:t>Οι οντότητες εστίασης που λειτουργούν με σερβίρισμα σε τραπεζοκαθίσματα και εκδίδουν τα λογιστικά τους στοιχεία με τη χρήση απλών ΦΗΜ της υπό στοιχεία ΠΟΛ.1220/2012 απόφασης του Υφυπουργού Οικονομικών παύουν τη χρήση αυτών έως και την 30.06.2024.».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παρ. 1 του άρθρου 3 αντικαθίσταται ως εξής: «Οι οντότητες εστίασης που λειτουργούν με σερβίρισμα σε τραπεζοκαθίσματα και εκδίδουν τα λογιστικά τους στοιχεία με τη χρήση ΕΑΦΔΣΣ, από την 01.05.2024 και εφεξής έχουν την υποχρέωση χρήσης ΦΗΜΑΣ Εστιατορίου ή ΦΤΜ Εστιατορίου ή ΑΔΗΜΕ Εστιατορίου, που πληρούν τις τεχνικές προδιαγραφές που ορίζονται στην υπό στοιχεία Α.1173/2022 απόφαση του Διοικητή της ΑΑΔΕ ή υπηρεσιών Παρόχου ηλεκτρονικής έκδοσης στοιχείων λιανικής πώλησης.».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Γ΄</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b/>
          <w:bCs/>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8. </w:t>
      </w:r>
      <w:r>
        <w:rPr>
          <w:b/>
          <w:bCs/>
          <w:lang w:val="el" w:eastAsia="el"/>
        </w:rPr>
        <w:t>Διεύθυνση Διαχείρισης Υποδομών-Τμήμα Ε΄</w:t>
      </w:r>
    </w:p>
    <w:p>
      <w:pPr>
        <w:spacing w:before="240" w:after="240"/>
        <w:rPr>
          <w:lang w:val="el" w:eastAsia="el"/>
        </w:rPr>
      </w:pPr>
      <w:r>
        <w:rPr>
          <w:b/>
          <w:bCs/>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0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