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 ΑΡΙΘ. ΦΕΚ: Β’ 1400/01. ΑΔΑ: 6ΞΤ646ΜΠ3Ζ-ΛΓΙ</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 ΤΜΗΜΑ Γ’ ΦΟΡΟΥ ΠΛΟΙΩΝ ΚΑΙ ΝΑΥΤΙΛΙΑΚΩΝ ΕΤΑΙΡΕΙΩΝ</w:t>
      </w:r>
    </w:p>
    <w:p>
      <w:pPr>
        <w:pStyle w:val="PreambelText"/>
        <w:spacing w:before="240" w:after="240"/>
        <w:rPr>
          <w:lang w:val="el" w:eastAsia="el"/>
        </w:rPr>
      </w:pPr>
      <w:r>
        <w:rPr>
          <w:b/>
          <w:bCs/>
          <w:lang w:val="el" w:eastAsia="el"/>
        </w:rPr>
        <w:t>Ταχ. Δ/νση : Καρ.Σερβίας 10</w:t>
      </w:r>
    </w:p>
    <w:p>
      <w:pPr>
        <w:pStyle w:val="PreambelText"/>
        <w:spacing w:before="240" w:after="240"/>
        <w:rPr>
          <w:lang w:val="el" w:eastAsia="el"/>
        </w:rPr>
      </w:pPr>
      <w:r>
        <w:rPr>
          <w:b/>
          <w:bCs/>
          <w:lang w:val="el" w:eastAsia="el"/>
        </w:rPr>
        <w:t>Ταχ. Κώδ. : 10184 Αθήνα</w:t>
      </w:r>
    </w:p>
    <w:p>
      <w:pPr>
        <w:pStyle w:val="PreambelText"/>
        <w:spacing w:before="240" w:after="240"/>
        <w:rPr>
          <w:lang w:val="el" w:eastAsia="el"/>
        </w:rPr>
      </w:pPr>
      <w:r>
        <w:rPr>
          <w:b/>
          <w:bCs/>
          <w:lang w:val="el" w:eastAsia="el"/>
        </w:rPr>
        <w:t>Τηλέφωνο : 210-3375192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ΘΕΜΑ: «Μη επιβολή τόκων εκπρόθεσμης καταβολής φόρου πλοίων πρώτης κατηγορίας του ν. 27/1975 (Α’77) φορολογικού έτους 2024, έως την 4</w:t>
      </w:r>
      <w:r>
        <w:rPr>
          <w:b/>
          <w:bCs/>
          <w:sz w:val="30"/>
          <w:szCs w:val="30"/>
          <w:vertAlign w:val="superscript"/>
          <w:lang w:val="el" w:eastAsia="el"/>
        </w:rPr>
        <w:t>η</w:t>
      </w:r>
      <w:r>
        <w:rPr>
          <w:b/>
          <w:bCs/>
          <w:lang w:val="el" w:eastAsia="el"/>
        </w:rPr>
        <w:t xml:space="preserve"> Μαρτίου</w:t>
      </w:r>
    </w:p>
    <w:p>
      <w:pPr>
        <w:spacing w:before="240" w:after="240"/>
        <w:rPr>
          <w:lang w:val="el" w:eastAsia="el"/>
        </w:rPr>
      </w:pPr>
      <w:r>
        <w:rPr>
          <w:b/>
          <w:bCs/>
          <w:lang w:val="el" w:eastAsia="el"/>
        </w:rPr>
        <w:t>2024 λόγω τεχνικής αδυναμίας ανάκτησης της Ταυτότητας Οφειλής».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8 του ν. 1284/1982 (Α΄114), με το οποίο παρέχεται εξουσιοδότηση στον Υπουργό Οικονομικών να παρατείνει σε εξαιρετικές περιπτώσεις με απόφαση του τις προθεσμίες καταβολής χρεών προς το Δημόσιο και τρίτους που εισπράττονται από τα δημόσια ταμεία, β) του Κώδικα Φορολογικής Διαδικασίας (ν. 4987/2022, Α΄ 206), γ) του ν. 27/1975 (Α’77),</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3.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φορέων»(Α΄130).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4.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5.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Το Κεφάλαιο Α΄ του ν. 4389/2016 «Σύσταση της Ανεξάρτητης Αρχής Δημοσίων Εσόδων» (Α΄ 94).</w:t>
      </w:r>
    </w:p>
    <w:p>
      <w:pPr>
        <w:spacing w:before="240" w:after="240"/>
        <w:rPr>
          <w:lang w:val="el" w:eastAsia="el"/>
        </w:rPr>
      </w:pPr>
      <w:r>
        <w:rPr>
          <w:lang w:val="el" w:eastAsia="el"/>
        </w:rPr>
        <w:t xml:space="preserve">8.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9. </w:t>
      </w:r>
      <w:r>
        <w:rPr>
          <w:b/>
          <w:bCs/>
          <w:lang w:val="el" w:eastAsia="el"/>
        </w:rPr>
        <w:t>Την ανάγκη αντιμετώπισης του ζητήματος που προέκυψε την 29.02.2024 λόγω τεχνικής αδυναμίας ανάκτησης της ταυτότητας οφειλής για την πληρωμή του φόρου από τους υπόχρεους σε φόρο πλοίων πρώτης κατηγορίας του ν. 27/1975 που υπέβαλλαν εμπρόθεσμα τις δηλώσεις.</w:t>
      </w:r>
    </w:p>
    <w:p>
      <w:pPr>
        <w:spacing w:before="240" w:after="240"/>
        <w:rPr>
          <w:lang w:val="el" w:eastAsia="el"/>
        </w:rPr>
      </w:pPr>
      <w:r>
        <w:rPr>
          <w:lang w:val="el" w:eastAsia="el"/>
        </w:rPr>
        <w:t xml:space="preserve">10.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Μόνον</w:t>
      </w:r>
    </w:p>
    <w:p>
      <w:pPr>
        <w:spacing w:before="240" w:after="240"/>
        <w:rPr>
          <w:lang w:val="el" w:eastAsia="el"/>
        </w:rPr>
      </w:pPr>
      <w:r>
        <w:rPr>
          <w:b/>
          <w:bCs/>
          <w:lang w:val="el" w:eastAsia="el"/>
        </w:rPr>
        <w:t>Οι υπόχρεοι σε υποβολή δήλωσης φόρου πλοίων πρώτης κατηγορίας του ν. 27/1975 που υπέβαλλαν τη δήλωση για το φορολογικό έτος 2024 εμπρόθεσμα, αλλά λόγω τεχνικού προβλήματος δεν μπόρεσαν να ανακτήσουν την Ταυτότητα Οφειλής, δύναται να καταβάλουν</w:t>
      </w:r>
    </w:p>
    <w:p>
      <w:pPr>
        <w:spacing w:before="240" w:after="240"/>
        <w:rPr>
          <w:lang w:val="el" w:eastAsia="el"/>
        </w:rPr>
      </w:pPr>
      <w:r>
        <w:rPr>
          <w:b/>
          <w:bCs/>
          <w:lang w:val="el" w:eastAsia="el"/>
        </w:rPr>
        <w:t>την πρώτη δόση του φόρου που προκύπτει από αυτήν χωρίς την επιβολή τόκων εκπρόθεσμης καταβολής του άρθρου 53 του ν. 4987/2022 μέχρι την 4</w:t>
      </w:r>
      <w:r>
        <w:rPr>
          <w:b/>
          <w:bCs/>
          <w:sz w:val="30"/>
          <w:szCs w:val="30"/>
          <w:vertAlign w:val="superscript"/>
          <w:lang w:val="el" w:eastAsia="el"/>
        </w:rPr>
        <w:t>η</w:t>
      </w:r>
      <w:r>
        <w:rPr>
          <w:b/>
          <w:bCs/>
          <w:lang w:val="el" w:eastAsia="el"/>
        </w:rPr>
        <w:t xml:space="preserve"> Μαρτίου 2024, αποκλειστικά μέσω web banking και όχι μέσω κάρτας ή μέσω συστήματος πληρωμών IRIS.</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Δ.Ο.Υ. Πλοίων Πειραιά</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(εκτός των αριθ. 2, 5 και 6 αυτού), Η’ (εκτός των αριθ. 4, 10 και 11 αυτού), Θ’, Ι’, ΙΒ’ (τα 5 και 7), ΙΣΤ’(το 2),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Γ’</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p>
      <w:pPr>
        <w:spacing w:before="240" w:after="240"/>
        <w:rPr>
          <w:lang w:val="el" w:eastAsia="el"/>
        </w:rPr>
      </w:pPr>
      <w:r>
        <w:rPr>
          <w:lang w:val="el" w:eastAsia="el"/>
        </w:rPr>
        <w:t xml:space="preserve">10.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