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&amp; ΟΙΚΟΝΟΜΙΚΩΝ</w:t>
      </w:r>
    </w:p>
    <w:p>
      <w:pPr>
        <w:pStyle w:val="Title"/>
        <w:spacing w:before="120" w:after="360"/>
        <w:rPr>
          <w:lang w:val="el" w:eastAsia="el"/>
        </w:rPr>
      </w:pPr>
      <w:r>
        <w:rPr>
          <w:b/>
          <w:bCs/>
          <w:lang w:val="el" w:eastAsia="el"/>
        </w:rPr>
        <w:t>Α. ΓΡΑΦΕΙΟ ΥΦΥΠΟΥΡΓΟΥ</w:t>
      </w:r>
    </w:p>
    <w:p>
      <w:pPr>
        <w:pStyle w:val="Title"/>
        <w:spacing w:before="120" w:after="360"/>
        <w:rPr>
          <w:lang w:val="el" w:eastAsia="el"/>
        </w:rPr>
      </w:pPr>
      <w:r>
        <w:rPr>
          <w:b/>
          <w:bCs/>
          <w:lang w:val="el" w:eastAsia="el"/>
        </w:rPr>
        <w:t>Β. ΓΕΝΙΚΗ ΓΡΑΜΜΑΤΕΙΑ ΔΗΜΟΣΙΟΝΟΜΙΚΗΣ ΠΟΛΙΤΙΚΗΣ</w:t>
      </w:r>
    </w:p>
    <w:p>
      <w:pPr>
        <w:pStyle w:val="Title"/>
        <w:spacing w:before="120" w:after="360"/>
        <w:rPr>
          <w:lang w:val="el" w:eastAsia="el"/>
        </w:rPr>
      </w:pPr>
      <w:r>
        <w:rPr>
          <w:b/>
          <w:bCs/>
          <w:lang w:val="el" w:eastAsia="el"/>
        </w:rPr>
        <w:t>ΓΕΝΙΚΗ ΔΙΕΥΘΥΝΣΗ ΘΗΣΑΥΡΟΦΥΛΑΚΙΟΥ &amp;</w:t>
      </w:r>
    </w:p>
    <w:p>
      <w:pPr>
        <w:pStyle w:val="Title"/>
        <w:spacing w:before="120" w:after="360"/>
        <w:rPr>
          <w:lang w:val="el" w:eastAsia="el"/>
        </w:rPr>
      </w:pPr>
      <w:r>
        <w:rPr>
          <w:b/>
          <w:bCs/>
          <w:lang w:val="el" w:eastAsia="el"/>
        </w:rPr>
        <w:t>ΔΗΜΟΣΙΟΝΟΜΙΚΩΝ ΚΑΝΟΝΩΝ</w:t>
      </w:r>
    </w:p>
    <w:p>
      <w:pPr>
        <w:pStyle w:val="Title"/>
        <w:spacing w:before="120" w:after="360"/>
        <w:rPr>
          <w:lang w:val="el" w:eastAsia="el"/>
        </w:rPr>
      </w:pPr>
      <w:r>
        <w:rPr>
          <w:b/>
          <w:bCs/>
          <w:lang w:val="el" w:eastAsia="el"/>
        </w:rPr>
        <w:t>Δ/ΝΣΗ ΛΟΓΑΡΙΑΣΜΩΝ ΚΑΙ ΤΑΜΕΙΑΚΟΥ ΠΡΟΓΡΑΜΜΑΤΙΣΜΟΥ</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ΤΕΛΩΝΕΙΑΚΩΝ, ΕΛΕΓΚΤΙΚΩΝ ΚΑΙ ΕΠΙΧΕΙΡΗΣΙΑΚΩΝ</w:t>
      </w:r>
    </w:p>
    <w:p>
      <w:pPr>
        <w:spacing w:before="240" w:after="240"/>
        <w:rPr>
          <w:lang w:val="el" w:eastAsia="el"/>
        </w:rPr>
      </w:pPr>
      <w:r>
        <w:rPr>
          <w:b/>
          <w:bCs/>
          <w:lang w:val="el" w:eastAsia="el"/>
        </w:rPr>
        <w:t>ΕΦΑΡΜΟΓΩΝ ΠΡΟΣ:</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III. </w:t>
      </w:r>
      <w:r>
        <w:rPr>
          <w:b/>
          <w:bCs/>
          <w:lang w:val="el" w:eastAsia="el"/>
        </w:rPr>
        <w:t>ΔΙΕΥΘΥΝΣΗ ΕΠΙΧΕΙΡΗΣΙΑΚΩΝ ΔΙΑΔΙΚΑΣΙΩΝ – ΤΜΗΜΑ Β΄</w:t>
      </w:r>
    </w:p>
    <w:p>
      <w:pPr>
        <w:spacing w:before="240" w:after="240"/>
        <w:rPr>
          <w:lang w:val="el" w:eastAsia="el"/>
        </w:rPr>
      </w:pPr>
      <w:r>
        <w:rPr>
          <w:b/>
          <w:bCs/>
          <w:lang w:val="el" w:eastAsia="el"/>
        </w:rPr>
        <w:t>Γ. ΓΕΝΙΚΗ ΔΙΕΥΘΥΝΣΗ ΦΟΡΟΛΟΓΙΑΣ</w:t>
      </w:r>
    </w:p>
    <w:p>
      <w:pPr>
        <w:spacing w:before="240" w:after="240"/>
        <w:rPr>
          <w:lang w:val="el" w:eastAsia="el"/>
        </w:rPr>
      </w:pPr>
      <w:r>
        <w:rPr>
          <w:b/>
          <w:bCs/>
          <w:lang w:val="el" w:eastAsia="el"/>
        </w:rPr>
        <w:t>ΔΙΕΥΘΥΝΣΗ ΔΙΑΔΙΚΑΣΙΩΝ ΕΙΣΠΡΑΞΕΩΝ ΚΑΙ ΕΠΙΣΤΡΟΦΩΝ ΤΜΗΜΑ Α΄</w:t>
      </w:r>
    </w:p>
    <w:p>
      <w:pPr>
        <w:spacing w:before="240" w:after="240"/>
        <w:rPr>
          <w:lang w:val="el" w:eastAsia="el"/>
        </w:rPr>
      </w:pPr>
      <w:r>
        <w:rPr>
          <w:lang w:val="el" w:eastAsia="el"/>
        </w:rPr>
        <w:t xml:space="preserve">3. </w:t>
      </w:r>
      <w:r>
        <w:rPr>
          <w:b/>
          <w:bCs/>
          <w:lang w:val="el" w:eastAsia="el"/>
        </w:rPr>
        <w:t>ΥΠΟΥΡΓΕΙΟ ΑΓΡΟΤΙΚΗΣ ΑΝΑΠΤΥΞΗΣ ΚΑΙ ΤΡΟΦΙΜΩΝ</w:t>
      </w:r>
    </w:p>
    <w:p>
      <w:pPr>
        <w:spacing w:before="240" w:after="240"/>
        <w:rPr>
          <w:lang w:val="el" w:eastAsia="el"/>
        </w:rPr>
      </w:pPr>
      <w:r>
        <w:rPr>
          <w:b/>
          <w:bCs/>
          <w:lang w:val="el" w:eastAsia="el"/>
        </w:rPr>
        <w:t>ΓΕΝΙΚΗ ΓΡΑΜΜΑΤΕΙΑ ΑΓΡΟΤΙΚΗΣ ΑΝΑΠΤΥΞΗΣ ΚΑΙ ΤΡΟΦΙΜΩΝ</w:t>
      </w:r>
    </w:p>
    <w:p>
      <w:pPr>
        <w:spacing w:before="240" w:after="240"/>
        <w:rPr>
          <w:lang w:val="el" w:eastAsia="el"/>
        </w:rPr>
      </w:pPr>
      <w:r>
        <w:rPr>
          <w:b/>
          <w:bCs/>
          <w:lang w:val="el" w:eastAsia="el"/>
        </w:rPr>
        <w:t>A.ΓΕΝΙΚΗ ΔΙΕΥΘΥΝΣΗ ΑΠΟΚΕΝΤΡΩΜΕΝΩΝ 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 ΚΑΙ ΑΓΡΟΤΙΚΩΝ ΕΚΜΕΤΑΛΛΕΥΣΕΩΝ</w:t>
      </w:r>
    </w:p>
    <w:p>
      <w:pPr>
        <w:spacing w:before="240" w:after="240"/>
        <w:rPr>
          <w:lang w:val="el" w:eastAsia="el"/>
        </w:rPr>
      </w:pPr>
      <w:r>
        <w:rPr>
          <w:lang w:val="el" w:eastAsia="el"/>
        </w:rPr>
        <w:t xml:space="preserve">B. </w:t>
      </w:r>
      <w:r>
        <w:rPr>
          <w:b/>
          <w:bCs/>
          <w:lang w:val="el" w:eastAsia="el"/>
        </w:rPr>
        <w:t>ΓΕΝΙΚΗ ΔΙΕΥΘΥΝΣΗ ΔΙΟΙΚΗΤΙΚΩΝ ΥΠΗΡΕΣΙΩΝ ΚΑΙ ΗΛΕΚΤΡΟΝΙΚΗΣ ΔΙΑΚΥΒΕΡΝΗΣΗΣ</w:t>
      </w:r>
    </w:p>
    <w:p>
      <w:pPr>
        <w:spacing w:before="240" w:after="240"/>
        <w:rPr>
          <w:lang w:val="el" w:eastAsia="el"/>
        </w:rPr>
      </w:pPr>
      <w:r>
        <w:rPr>
          <w:b/>
          <w:bCs/>
          <w:lang w:val="el" w:eastAsia="el"/>
        </w:rPr>
        <w:t>ΔΙΕΥΘΥΝΣΗ ΗΛΕΚΤΡΟΝΙΚΗΣ ΔΙΑΚΥΒΕΡΝΗΣΗΣ ΤΜΗΜΑ ΔΙΑΧΕΙΡΙΣΗΣ DATA CENTER, ΔΙΚΤΥΩΝ ΚΑΙ ΒΑΣΕΩΝ ΔΕΔΟΜΕΝΩΝ</w:t>
      </w:r>
    </w:p>
    <w:p>
      <w:pPr>
        <w:spacing w:before="240" w:after="240"/>
        <w:rPr>
          <w:lang w:val="el" w:eastAsia="el"/>
        </w:rPr>
      </w:pPr>
      <w:r>
        <w:rPr>
          <w:b/>
          <w:bCs/>
          <w:lang w:val="el" w:eastAsia="el"/>
        </w:rPr>
        <w:t>Θέμα: « Όροι, προϋποθέσεις και διαδικασία χορήγησης της προκαταβολής και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2024, ποσοστό και κριτήρια της προκαταβολής, δικαιούχα προκαταβολής και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 xml:space="preserve">ΕΘΝΙΚΗΣ ΟΙΚΟΝΟΜΙΑΣ ΚΑΙ ΟΙΚΟΝΟΜΙΚΩΝ </w:t>
      </w:r>
    </w:p>
    <w:p>
      <w:pPr>
        <w:spacing w:before="240" w:after="240"/>
        <w:rPr>
          <w:lang w:val="el" w:eastAsia="el"/>
        </w:rPr>
      </w:pPr>
      <w:r>
        <w:rPr>
          <w:b/>
          <w:bCs/>
          <w:lang w:val="el" w:eastAsia="el"/>
        </w:rPr>
        <w:t>-ΑΓΡΟΤΙΚΗΣ ΑΝΑΠΤΥΞΗΣ ΚΑΙ ΤΡΟΦΙΜΩΝ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 στ΄ της παρ. 1 του άρθρου 73 και της παρ.4β του άρθρου 78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άρθρου 90 του Κώδικα νομοθεσίας για την Κυβέρνηση και τα κυβερνητικά όργανα (π.δ.63/2005, Α΄98), που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παρ. 3 του άρθρου 13 του ν. 1947/1991 (Α΄70),</w:t>
      </w:r>
    </w:p>
    <w:p>
      <w:pPr>
        <w:pStyle w:val="StructureList1"/>
        <w:spacing w:before="120" w:after="0"/>
        <w:rPr>
          <w:lang w:val="el" w:eastAsia="el"/>
        </w:rPr>
      </w:pPr>
      <w:r>
        <w:rPr>
          <w:lang w:val="el" w:eastAsia="el"/>
        </w:rPr>
        <w:t>ε)</w:t>
      </w:r>
      <w:r>
        <w:rPr>
          <w:lang w:val="en" w:eastAsia="en"/>
        </w:rPr>
        <w:tab/>
      </w:r>
      <w:r>
        <w:rPr>
          <w:b/>
          <w:bCs/>
          <w:lang w:val="el" w:eastAsia="el"/>
        </w:rPr>
        <w:t>του άρθρου 14 του ν. 2892/2001 (Α΄46),</w:t>
      </w:r>
    </w:p>
    <w:p>
      <w:pPr>
        <w:pStyle w:val="StructureList1"/>
        <w:spacing w:before="120" w:after="0"/>
        <w:rPr>
          <w:lang w:val="el" w:eastAsia="el"/>
        </w:rPr>
      </w:pPr>
      <w:r>
        <w:rPr>
          <w:lang w:val="el" w:eastAsia="el"/>
        </w:rPr>
        <w:t>στ)</w:t>
      </w:r>
      <w:r>
        <w:rPr>
          <w:lang w:val="en" w:eastAsia="en"/>
        </w:rPr>
        <w:tab/>
      </w:r>
      <w:r>
        <w:rPr>
          <w:b/>
          <w:bCs/>
          <w:lang w:val="el" w:eastAsia="el"/>
        </w:rPr>
        <w:t>του άρθρου 12, της παρ. 1 του άρθρου 42, του άρθρου 44 και της παρ. 2 του άρθρου 48 του Κώδικα Φορολογικής Διαδικασίας (ν. 4987/2022, Α΄206),</w:t>
      </w:r>
    </w:p>
    <w:p>
      <w:pPr>
        <w:pStyle w:val="StructureList1"/>
        <w:spacing w:before="120" w:after="0"/>
        <w:rPr>
          <w:lang w:val="el" w:eastAsia="el"/>
        </w:rPr>
      </w:pPr>
      <w:r>
        <w:rPr>
          <w:lang w:val="el" w:eastAsia="el"/>
        </w:rPr>
        <w:t>ζ)</w:t>
      </w:r>
      <w:r>
        <w:rPr>
          <w:lang w:val="en" w:eastAsia="en"/>
        </w:rPr>
        <w:tab/>
      </w:r>
      <w:r>
        <w:rPr>
          <w:b/>
          <w:bCs/>
          <w:lang w:val="el" w:eastAsia="el"/>
        </w:rPr>
        <w:t>των άρθρων 3 και 75 του Κώδικα Εισπράξεως Δημοσίων Εσόδων (ν. 4978/2022, Α΄190),</w:t>
      </w:r>
    </w:p>
    <w:p>
      <w:pPr>
        <w:pStyle w:val="StructureList1"/>
        <w:spacing w:before="120" w:after="0"/>
        <w:rPr>
          <w:lang w:val="el" w:eastAsia="el"/>
        </w:rPr>
      </w:pPr>
      <w:r>
        <w:rPr>
          <w:lang w:val="el" w:eastAsia="el"/>
        </w:rPr>
        <w:t>η)</w:t>
      </w:r>
      <w:r>
        <w:rPr>
          <w:lang w:val="en" w:eastAsia="en"/>
        </w:rPr>
        <w:tab/>
      </w:r>
      <w:r>
        <w:rPr>
          <w:b/>
          <w:bCs/>
          <w:lang w:val="el" w:eastAsia="el"/>
        </w:rPr>
        <w:t>της υποπαρ. IA.2 της παρ. ΙΑ του άρθρου πρώτου του Κεφαλαίου Α΄ του ν. 4254/2014 (Α΄85),</w:t>
      </w:r>
    </w:p>
    <w:p>
      <w:pPr>
        <w:pStyle w:val="StructureList1"/>
        <w:spacing w:before="120" w:after="0"/>
        <w:rPr>
          <w:lang w:val="el" w:eastAsia="el"/>
        </w:rPr>
      </w:pPr>
      <w:r>
        <w:rPr>
          <w:lang w:val="el" w:eastAsia="el"/>
        </w:rPr>
        <w:t>θ)</w:t>
      </w:r>
      <w:r>
        <w:rPr>
          <w:lang w:val="en" w:eastAsia="en"/>
        </w:rPr>
        <w:tab/>
      </w:r>
      <w:r>
        <w:rPr>
          <w:b/>
          <w:bCs/>
          <w:lang w:val="el" w:eastAsia="el"/>
        </w:rPr>
        <w:t>του ν. 4270/2014 (Α΄143),</w:t>
      </w:r>
    </w:p>
    <w:p>
      <w:pPr>
        <w:pStyle w:val="StructureList1"/>
        <w:spacing w:before="120" w:after="0"/>
        <w:rPr>
          <w:lang w:val="el" w:eastAsia="el"/>
        </w:rPr>
      </w:pPr>
      <w:r>
        <w:rPr>
          <w:lang w:val="el" w:eastAsia="el"/>
        </w:rPr>
        <w:t>ι)</w:t>
      </w:r>
      <w:r>
        <w:rPr>
          <w:lang w:val="en" w:eastAsia="en"/>
        </w:rPr>
        <w:tab/>
      </w:r>
      <w:r>
        <w:rPr>
          <w:b/>
          <w:bCs/>
          <w:lang w:val="el" w:eastAsia="el"/>
        </w:rPr>
        <w:t>του άρθρου 18 του ν. 3522/2006 (Α΄276),</w:t>
      </w:r>
    </w:p>
    <w:p>
      <w:pPr>
        <w:pStyle w:val="StructureList1"/>
        <w:spacing w:before="120" w:after="0"/>
        <w:rPr>
          <w:lang w:val="el" w:eastAsia="el"/>
        </w:rPr>
      </w:pPr>
      <w:r>
        <w:rPr>
          <w:lang w:val="el" w:eastAsia="el"/>
        </w:rPr>
        <w:t>ια)</w:t>
      </w:r>
      <w:r>
        <w:rPr>
          <w:lang w:val="en" w:eastAsia="en"/>
        </w:rPr>
        <w:tab/>
      </w:r>
      <w:r>
        <w:rPr>
          <w:b/>
          <w:bCs/>
          <w:lang w:val="el" w:eastAsia="el"/>
        </w:rPr>
        <w:t>του ν. 4308/2014 «Eλληνικά Λογιστικά Πρότυπα, συναφείς ρυθμίσεις και άλλες διατάξεις» (Α΄251), ιβ) του π.δ. 142/2017 «Οργανισμός Υπουργείου Οικονομικών» (Α΄181),</w:t>
      </w:r>
    </w:p>
    <w:p>
      <w:pPr>
        <w:pStyle w:val="StructureList1"/>
        <w:spacing w:before="120" w:after="0"/>
        <w:rPr>
          <w:lang w:val="el" w:eastAsia="el"/>
        </w:rPr>
      </w:pPr>
      <w:r>
        <w:rPr>
          <w:lang w:val="el" w:eastAsia="el"/>
        </w:rPr>
        <w:t>ιγ)</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ιδ)</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ιε)</w:t>
      </w:r>
      <w:r>
        <w:rPr>
          <w:lang w:val="en" w:eastAsia="en"/>
        </w:rPr>
        <w:tab/>
      </w:r>
      <w:r>
        <w:rPr>
          <w:b/>
          <w:bCs/>
          <w:lang w:val="el" w:eastAsia="el"/>
        </w:rPr>
        <w:t>του π.δ. 79/2023 «Διορισμός Υπουργών, Αναπληρωτών Υπουργών και Υφυπουργών» (Α΄ 131), ιστ) του π.δ. 97/2017 «Οργανισμός Υπουργείου Αγροτικής Ανάπτυξης και Τροφίμων» (Α΄138).</w:t>
      </w:r>
    </w:p>
    <w:p>
      <w:pPr>
        <w:spacing w:before="240" w:after="240"/>
        <w:rPr>
          <w:lang w:val="el" w:eastAsia="el"/>
        </w:rPr>
      </w:pPr>
      <w:r>
        <w:rPr>
          <w:lang w:val="el" w:eastAsia="el"/>
        </w:rPr>
        <w:t xml:space="preserve">2. </w:t>
      </w:r>
      <w:r>
        <w:rPr>
          <w:b/>
          <w:bCs/>
          <w:lang w:val="el" w:eastAsia="el"/>
        </w:rPr>
        <w:t>Την υπό στοιχεία Α.1162/2023 κοινή απόφαση του Υφυπουργού Εθνικής Οικονομίας και Οικονομικών και του Διοικητή της ΑΑΔΕ «Αποδεικτικό Ενημερότητας άρθρου 12 του Κώδικα Φορολογικής Διαδικασίας (ΚΦΔ, ν. 4987/2022, Α’206)» (Β΄6129) και ειδικότερα της περ. ζ) του άρθρου 2 αυτής.</w:t>
      </w:r>
    </w:p>
    <w:p>
      <w:pPr>
        <w:spacing w:before="240" w:after="240"/>
        <w:rPr>
          <w:lang w:val="el" w:eastAsia="el"/>
        </w:rPr>
      </w:pPr>
      <w:r>
        <w:rPr>
          <w:lang w:val="el" w:eastAsia="el"/>
        </w:rPr>
        <w:t xml:space="preserve">3. </w:t>
      </w:r>
      <w:r>
        <w:rPr>
          <w:b/>
          <w:bCs/>
          <w:lang w:val="el" w:eastAsia="el"/>
        </w:rPr>
        <w:t>Την υπ. αρ. 15435/913/16-04-2020 απόφαση του Υπουργού Εργασίας &amp; Κοινωνικών Υποθέσεων «Διαδικασία χορήγησης και περιεχόμενο του Αποδεικτικού Ασφαλιστικής Ενημερότητας και της Βεβαίωσης Οφειλής του e-ΕΦΚΑ» (Β΄1559) και ειδικότερα του άρθρου 2 αυτής.</w:t>
      </w:r>
    </w:p>
    <w:p>
      <w:pPr>
        <w:spacing w:before="240" w:after="240"/>
        <w:rPr>
          <w:lang w:val="el" w:eastAsia="el"/>
        </w:rPr>
      </w:pPr>
      <w:r>
        <w:rPr>
          <w:lang w:val="el" w:eastAsia="el"/>
        </w:rPr>
        <w:t xml:space="preserve">4. </w:t>
      </w:r>
      <w:r>
        <w:rPr>
          <w:b/>
          <w:bCs/>
          <w:lang w:val="el" w:eastAsia="el"/>
        </w:rPr>
        <w:t>Την υπό στοιχεία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5. </w:t>
      </w:r>
      <w:r>
        <w:rPr>
          <w:b/>
          <w:bCs/>
          <w:lang w:val="el" w:eastAsia="el"/>
        </w:rPr>
        <w:t>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6. </w:t>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υπό στοιχεία Α.1180/15-11-2023 (Β΄6519) κοινή απόφαση των Υπουργών Εθνικής Οικονομίας και Οικονομικών, Αγροτικής Ανάπτυξης και Τροφίμων και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υπ’ αρ.1494/341065/2023 (Β΄6367) κοινή απόφαση των Υπουργών Εθνικής Οικονομίας και Οικονομικών και Αγροτικής Ανάπτυξης και Τροφίμων.</w:t>
      </w:r>
    </w:p>
    <w:p>
      <w:pPr>
        <w:spacing w:before="240" w:after="240"/>
        <w:rPr>
          <w:lang w:val="el" w:eastAsia="el"/>
        </w:rPr>
      </w:pPr>
      <w:r>
        <w:rPr>
          <w:lang w:val="el" w:eastAsia="el"/>
        </w:rPr>
        <w:t xml:space="preserve">10. </w:t>
      </w:r>
      <w:r>
        <w:rPr>
          <w:b/>
          <w:bCs/>
          <w:lang w:val="el" w:eastAsia="el"/>
        </w:rPr>
        <w:t>Την ανάγκη καθορισμού των όρων, των προϋποθέσεων, της διαδικασίας χορήγησης της προκαταβολής και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του ποσοστού και των κριτηρίων της προκαταβολής, των δικαιούχων προκαταβολής και επιστροφής προσώπων, των κριτηρίων για τον προσδιορισμό των ποσοτήτων πετρελαίου εσωτερικής καύσης (DIESEL) κινητήρων για τις οποίες υπολογίζεται η επιστροφή του ειδικού φόρου κατανάλωσης, της αρμόδιας για την επιστροφή του ειδικού φόρου κατανάλωσης αρχής, του τρόπου ελέγχου της νόμιμης χρήσης του πετρελαίου εσωτερικής καύσης (DIESEL) κινητήρων για το οποίο χορηγείται επιστροφή του φόρου κατ΄ εφαρμογή της παρ. 4β του άρθρου 78 του Εθνικού Τελωνειακού Κώδικα.</w:t>
      </w:r>
    </w:p>
    <w:p>
      <w:pPr>
        <w:spacing w:before="240" w:after="240"/>
        <w:rPr>
          <w:lang w:val="el" w:eastAsia="el"/>
        </w:rPr>
      </w:pPr>
      <w:r>
        <w:rPr>
          <w:lang w:val="el" w:eastAsia="el"/>
        </w:rPr>
        <w:t xml:space="preserve">11. </w:t>
      </w:r>
      <w:r>
        <w:rPr>
          <w:b/>
          <w:bCs/>
          <w:lang w:val="el" w:eastAsia="el"/>
        </w:rPr>
        <w:t>Την από 1</w:t>
      </w:r>
      <w:r>
        <w:rPr>
          <w:b/>
          <w:bCs/>
          <w:sz w:val="30"/>
          <w:szCs w:val="30"/>
          <w:vertAlign w:val="superscript"/>
          <w:lang w:val="el" w:eastAsia="el"/>
        </w:rPr>
        <w:t>η</w:t>
      </w:r>
      <w:r>
        <w:rPr>
          <w:b/>
          <w:bCs/>
          <w:lang w:val="el" w:eastAsia="el"/>
        </w:rPr>
        <w:t xml:space="preserve"> Μαρτίου 2024 εισήγηση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όροι, οι προϋποθέσεις και η διαδικασία χορήγησης της προκαταβολής και επιστροφής του ειδικού φόρου κατανάλωσης (Ε.Φ.Κ.)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2024, β) το ποσοστό, τα κριτήρια της προκαταβολής και ο χρόνος προκαταβολής, γ) τα δικαιούχα πρόσωπα για την προκαταβολή και την επιστροφή του Ε.Φ.Κ, δ) τα κριτήρια για τον προσδιορισμό των ποσοτήτων πετρελαίου κινητήρων για τις οποίες υπολογίζεται η επιστροφή του φόρου,</w:t>
      </w:r>
    </w:p>
    <w:p>
      <w:pPr>
        <w:pStyle w:val="StructureList1"/>
        <w:spacing w:before="120" w:after="0"/>
        <w:rPr>
          <w:lang w:val="el" w:eastAsia="el"/>
        </w:rPr>
      </w:pPr>
      <w:r>
        <w:rPr>
          <w:lang w:val="el" w:eastAsia="el"/>
        </w:rPr>
        <w:t>ε)</w:t>
      </w:r>
      <w:r>
        <w:rPr>
          <w:lang w:val="en" w:eastAsia="en"/>
        </w:rPr>
        <w:tab/>
      </w:r>
      <w:r>
        <w:rPr>
          <w:b/>
          <w:bCs/>
          <w:lang w:val="el" w:eastAsia="el"/>
        </w:rPr>
        <w:t>η αρμόδια για την επιστροφή του Ε.Φ.Κ αρχή και στ) ο τρόπος ελέγχου της νόμιμης χρήσης του πετρελαίου κινητήρων.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Δικαιούχα πρόσωπα για την επιστροφή και την προκαταβολή του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(παραγωγοί κατά την έννοια της παρ.4) τα οποία έχουν υποβάλλει Ενιαία Αίτηση Ενίσχυσης (ΕΑΕ) για τα έτη 2023 και 2024, έχουν εγγραφεί στο Μητρώο Αγροτών και Αγροτικών Εκμεταλλεύσεων (ΜΑΑΕ) από την 1</w:t>
      </w:r>
      <w:r>
        <w:rPr>
          <w:b/>
          <w:bCs/>
          <w:sz w:val="30"/>
          <w:szCs w:val="30"/>
          <w:vertAlign w:val="superscript"/>
          <w:lang w:val="el" w:eastAsia="el"/>
        </w:rPr>
        <w:t xml:space="preserve">η </w:t>
      </w:r>
      <w:r>
        <w:rPr>
          <w:b/>
          <w:bCs/>
          <w:lang w:val="el" w:eastAsia="el"/>
        </w:rPr>
        <w:t>Ιανουαρίου 2024 έως και την 31</w:t>
      </w:r>
      <w:r>
        <w:rPr>
          <w:b/>
          <w:bCs/>
          <w:sz w:val="30"/>
          <w:szCs w:val="30"/>
          <w:vertAlign w:val="superscript"/>
          <w:lang w:val="el" w:eastAsia="el"/>
        </w:rPr>
        <w:t>η</w:t>
      </w:r>
      <w:r>
        <w:rPr>
          <w:b/>
          <w:bCs/>
          <w:lang w:val="el" w:eastAsia="el"/>
        </w:rPr>
        <w:t xml:space="preserve"> Οκτωβρίου 2024 και τους έχει αποδοθεί η ιδιότητα του «επαγγελματία αγρότη» ή του «επαγγελματία αγρότη ως νεοεισερχόμενου στον αγροτικό τομέα».</w:t>
      </w:r>
    </w:p>
    <w:p>
      <w:pPr>
        <w:pStyle w:val="MainText"/>
        <w:spacing w:before="120" w:after="0"/>
        <w:rPr>
          <w:lang w:val="el" w:eastAsia="el"/>
        </w:rPr>
      </w:pPr>
      <w:r>
        <w:rPr>
          <w:b/>
          <w:bCs/>
          <w:lang w:val="el" w:eastAsia="el"/>
        </w:rPr>
        <w:t>2.</w:t>
      </w:r>
      <w:r>
        <w:rPr>
          <w:lang w:val="el" w:eastAsia="el"/>
        </w:rPr>
        <w:t xml:space="preserve"> </w:t>
      </w:r>
      <w:r>
        <w:rPr>
          <w:b/>
          <w:bCs/>
          <w:lang w:val="el" w:eastAsia="el"/>
        </w:rPr>
        <w:t>Δικαιούχοι προκαταβολής της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της παρ. 1 τα οποία:</w:t>
      </w:r>
    </w:p>
    <w:p>
      <w:pPr>
        <w:pStyle w:val="StructureList1"/>
        <w:spacing w:before="120" w:after="0"/>
        <w:rPr>
          <w:lang w:val="el" w:eastAsia="el"/>
        </w:rPr>
      </w:pPr>
      <w:r>
        <w:rPr>
          <w:lang w:val="el" w:eastAsia="el"/>
        </w:rPr>
        <w:t>α)</w:t>
      </w:r>
      <w:r>
        <w:rPr>
          <w:lang w:val="en" w:eastAsia="en"/>
        </w:rPr>
        <w:tab/>
      </w:r>
      <w:r>
        <w:rPr>
          <w:b/>
          <w:bCs/>
          <w:lang w:val="el" w:eastAsia="el"/>
        </w:rPr>
        <w:t>Έχουν εγγραφεί στο Μητρώο Αγροτών και Αγροτικών Εκμεταλλεύσεων από 01-01-2024 έως και την ημερομηνία δημοσίευσης της παρούσας ή</w:t>
      </w:r>
    </w:p>
    <w:p>
      <w:pPr>
        <w:pStyle w:val="StructureList1"/>
        <w:spacing w:before="120" w:after="0"/>
        <w:rPr>
          <w:lang w:val="el" w:eastAsia="el"/>
        </w:rPr>
      </w:pPr>
      <w:r>
        <w:rPr>
          <w:lang w:val="el" w:eastAsia="el"/>
        </w:rPr>
        <w:t>β)</w:t>
      </w:r>
      <w:r>
        <w:rPr>
          <w:lang w:val="en" w:eastAsia="en"/>
        </w:rPr>
        <w:tab/>
      </w:r>
      <w:r>
        <w:rPr>
          <w:b/>
          <w:bCs/>
          <w:lang w:val="el" w:eastAsia="el"/>
        </w:rPr>
        <w:t>είχαν υπαχθεί στα δικαιούχα επιστροφής πρόσωπα της υπό στοιχεία Α.1180/15-11-2023 κοινής απόφασης των Υπουργών Εθνικής Οικονομίας και Οικονομικών, Αγροτικής Ανάπτυξης και Τροφίμων και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b/>
          <w:bCs/>
          <w:lang w:val="el" w:eastAsia="el"/>
        </w:rPr>
        <w:t>και δεν έχουν υποβάλει δήλωση ότι δεν επιθυμούν να λάβουν την προκαταβολή σύμφωνα με την παρ.3.</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αποφυγή επιστροφής από τους παραγωγούς της προκαταβολής με τη διαδικασία των αχρεωστήτως καταβληθέντων ποσών, οι παραγωγοί, οι οποίοι δεν θα υποβάλουν Ενιαία Αίτηση Ενίσχυσης (ΕΑΕ) για το έτος 2024, ή δεν προτίθενται να εγγραφούν στο Μητρώο Αγροτών και Αγροτικών Εκμεταλλεύσεων (ΜΑΑΕ), από την 1</w:t>
      </w:r>
      <w:r>
        <w:rPr>
          <w:b/>
          <w:bCs/>
          <w:sz w:val="30"/>
          <w:szCs w:val="30"/>
          <w:vertAlign w:val="superscript"/>
          <w:lang w:val="el" w:eastAsia="el"/>
        </w:rPr>
        <w:t>η</w:t>
      </w:r>
      <w:r>
        <w:rPr>
          <w:b/>
          <w:bCs/>
          <w:lang w:val="el" w:eastAsia="el"/>
        </w:rPr>
        <w:t xml:space="preserve"> Ιανουαρίου 2024 έως και την 31</w:t>
      </w:r>
      <w:r>
        <w:rPr>
          <w:b/>
          <w:bCs/>
          <w:sz w:val="30"/>
          <w:szCs w:val="30"/>
          <w:vertAlign w:val="superscript"/>
          <w:lang w:val="el" w:eastAsia="el"/>
        </w:rPr>
        <w:t>η</w:t>
      </w:r>
      <w:r>
        <w:rPr>
          <w:b/>
          <w:bCs/>
          <w:lang w:val="el" w:eastAsia="el"/>
        </w:rPr>
        <w:t xml:space="preserve"> Οκτωβρίου 2024, ως «επαγγελματίες αγρότες» ή ως «επαγγελματίες αγρότες ως νεοεισερχόμενοι στον αγροτικό τομέα», ή δεν επιθυμούν να λάβουν την προκαταβολή για οποιοδήποτε άλλο λόγο, υποβάλλουν δήλωση στο ΜΑΑΕ, έως και την 15η-03-2024. Η δήλωση υποβάλλεται μέσω ηλεκτρονικού ταχυδρομείου, με αποδεικτικό παραλαβής, στο Τμήμα Υποστήριξης και Μητρώου Αγροτών και Αγροτικών Εκμεταλλεύσεων (ΜΑΑΕ) της Γενικής Διεύθυνσης Αποκεντρωμένων Δομών του ΥΠΑΑΤ, στην οποία θα πρέπει να αναγράφεται υποχρεωτικά ο Αριθμός Φορολογικού Μητρώου (ΑΦΜ) του παραγωγού.</w:t>
      </w:r>
    </w:p>
    <w:p>
      <w:pPr>
        <w:spacing w:before="240" w:after="240"/>
        <w:rPr>
          <w:lang w:val="el" w:eastAsia="el"/>
        </w:rPr>
      </w:pPr>
      <w:r>
        <w:rPr>
          <w:b/>
          <w:bCs/>
          <w:lang w:val="el" w:eastAsia="el"/>
        </w:rPr>
        <w:t>Στη δήλωση αυτή αναγράφεται ότι, ο παραγωγός δεν επιθυμεί να λάβει προκαταβολή της επιστροφής του ειδικού φόρου κατανάλωσης πετρελαίου εσωτερικής καύσης (DIESEL) κινητήρων, το οποίο χρησιμοποιείται αποκλειστικά στη γεωργία.</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Κριτήρια για τον προσδιορισμό των ποσοτήτων πετρελαίου κινητήρων για τις οποίες υπολογίζεται ηεπιστροφή του ειδικού φόρου κατανάλωσης – </w:t>
      </w:r>
    </w:p>
    <w:p>
      <w:pPr>
        <w:spacing w:before="240" w:after="240"/>
        <w:rPr>
          <w:lang w:val="el" w:eastAsia="el"/>
        </w:rPr>
      </w:pPr>
      <w:r>
        <w:rPr>
          <w:b/>
          <w:bCs/>
          <w:lang w:val="el" w:eastAsia="el"/>
        </w:rPr>
        <w:t>Υπολογισμός ποσού επιστροφής και ποσούπροκαταβολής του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Οι επιδοτούμενες ποσότητες του πετρελαίου κινητήρων, για τις οποίες επιστρέφεται ο Ε.Φ.Κ για το έτος 2024, ανά δικαιούχο πρόσωπο, υπολογίζονται, με βάση την ποσότητα του πετρελαίου κινητήρων που προσδιορίζεται ότι απαιτείται για την εκτέλεση κάθε είδους εργασιών σχετικά με καλλιέργεια ή ομάδα καλλιεργειών του Παραρτήματος Ι καθώς και σε κάθε κατηγορία ή είδος ζωικού κεφαλαίου του Παραρτήματος IΙ και αντιστοιχούν στο 50% των μέγιστων ποσοτήτων πετρελαίου κινητήρων που προσδιορίζονται από τους δείκτες μηχανικής απασχόλησης (απαιτούμενης ενέργειας) των Παραρτημάτων Ι και ΙΙ και σύμφωνα με τα στοιχεία της Ενιαίας Αίτησης Ενίσχυσης (ΕΑΕ) του έτους 2024, με την επιφύλαξη της παρ. 2.</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όσους υπάγονται στο πεδίο εφαρμογής της με αριθμ. 1494/341065/8-11-2023 (Β΄6367) κοινής απόφασης των Υπουργών Εθνικής Οικονομίας και Οικονομικών και Αγροτικής Ανάπτυξης και Τροφίμων, λαμβάνοντας υπόψη την ανάγκη αποκατάστασης και με ίδια μέσα των αγροτικών εκμεταλλεύσεων που έχουν υποστεί καταστροφικές ζημιές λόγω των έντονων πλημμυρικών φαινομένων του προηγουμένου έτους, εάν οι ποσότητες πετρελαίου κινητήρων βάσει της ΕΑΕ του έτους 2024 υπολείπονται άνω του τριάντα τοις εκατό (30%) αυτών βάσει της ΕΑΕ του έτους 2023, για τον υπολογισμό της δικαιούμενης επιστροφής λαμβάνεται υπόψη η ΕΑΕ του έτους 2023.</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τον υπολογισμό του ποσού της επιστροφής Ε.Φ.Κ εφαρμόζεται σε συνάρτηση με το σύνολο των ποσοτήτων της παρ. 1 ο συντελεστής Ε.Φ.Κ της περ. στ΄ της παρ. 1 του άρθρου 73 του ν. 2960/2001 (Α΄265), ήτοι 0,41 ευρώ ανά λίτρο.</w:t>
      </w:r>
    </w:p>
    <w:p>
      <w:pPr>
        <w:pStyle w:val="MainText"/>
        <w:spacing w:before="120" w:after="0"/>
        <w:rPr>
          <w:lang w:val="el" w:eastAsia="el"/>
        </w:rPr>
      </w:pPr>
      <w:r>
        <w:rPr>
          <w:b/>
          <w:bCs/>
          <w:lang w:val="el" w:eastAsia="el"/>
        </w:rPr>
        <w:t>4.</w:t>
      </w:r>
      <w:r>
        <w:rPr>
          <w:lang w:val="el" w:eastAsia="el"/>
        </w:rPr>
        <w:t xml:space="preserve"> </w:t>
      </w:r>
      <w:r>
        <w:rPr>
          <w:b/>
          <w:bCs/>
          <w:lang w:val="el" w:eastAsia="el"/>
        </w:rPr>
        <w:t>Ποσοστό επί των δικαιούμενων ποσών επιστροφής, σύμφωνα με τα οριζόμενα στις παρ. 1 και 2, προκαταβάλλεται για το έτος 2024. Το ποσό της προκαταβολής ορίζεται σε ποσοστό 50% επί του ποσού της επιστροφής του Ε.Φ.Κ., το οποίο υπολογίζεται με βάση τις ποσότητες πετρελαίου κινητήρων σε λίτρα, όπως αυτές προσδιορίζονται βάσει των παρ. 1 και 2 (50% των ετήσιων δικαιούμενων ποσοτήτων), για το σύνολο των δραστηριοτήτων του παραγωγού, σύμφωνα με τα στοιχεία της Ενιαίας Αίτησης Ενίσχυσης (ΕΑΕ) του έτους 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Διαδικασία χορήγησης της προκαταβολής της επιστροφής Ε.Φ.Κ., χρόνος χορήγησης τηςπροκαταβολής, αρμόδιες υπηρεσίες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Το Υπουργείο Αγροτικής Ανάπτυξης και Τροφίμων (ΥΠΑΑΤ), διαβιβάζει έως και την 22 </w:t>
      </w:r>
      <w:r>
        <w:rPr>
          <w:b/>
          <w:bCs/>
          <w:sz w:val="30"/>
          <w:szCs w:val="30"/>
          <w:vertAlign w:val="superscript"/>
          <w:lang w:val="el" w:eastAsia="el"/>
        </w:rPr>
        <w:t>α</w:t>
      </w:r>
      <w:r>
        <w:rPr>
          <w:b/>
          <w:bCs/>
          <w:lang w:val="el" w:eastAsia="el"/>
        </w:rPr>
        <w:t>- 3-2024 στη Γενική Διεύθυνση Ηλεκτρονικής Διακυβέρνησης (ΓΔΗΛΕΔ), αρχείο (σε ψηφιακό μέσο), με τους ΑΦΜ των δικαιούχων προκαταβολής της επιστροφής προσώπων της παρ. 2 του άρθρου 2 και ανά ΑΦΜ, τον αριθμό τραπεζικού λογαριασμού (ΙΒΑΝ) και την ετήσια δικαιούμενη ποσότητα καυσίμου καθώς και την επιδοτούμενη για την οποία δύναται να λάβει επιστροφή βάσει των παρ. 1 και 2 του άρθρου 3, για το σύνολο των δραστηριοτήτων του σύμφωνα με τα στοιχεία της Ενιαίας Αίτησης Ενίσχυσης (ΕΑΕ) του έτους 2023.</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υπηρεσία για τη χορήγηση της προκαταβολής της επιστροφής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Ανεξάρτητης Αρχής Δημοσίων Εσόδων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Διεύθυνση Ανάπτυξης Τελωνειακών, Ελεγκτικών και Επιχειρησιακών Εφαρμογών (ΔΑΤΕ) της Γενικής Διεύθυνσης Ηλεκτρονικής Διακυβέρνησης (ΓΔΗΛΕΔ) επεξεργάζεται ψηφιακά τα στοιχεία των δικαιούχων προσώπων και υπολογίζει τα ποσά προκαταβολής της επιστροφής του Ε.Φ.Κ, βάσει των οριζόμενων στις παρ. 3 και 4 του άρθρου 3.</w:t>
      </w:r>
    </w:p>
    <w:p>
      <w:pPr>
        <w:pStyle w:val="MainText"/>
        <w:spacing w:before="120" w:after="0"/>
        <w:rPr>
          <w:lang w:val="el" w:eastAsia="el"/>
        </w:rPr>
      </w:pPr>
      <w:r>
        <w:rPr>
          <w:b/>
          <w:bCs/>
          <w:lang w:val="el" w:eastAsia="el"/>
        </w:rPr>
        <w:t>4.</w:t>
      </w:r>
      <w:r>
        <w:rPr>
          <w:lang w:val="el" w:eastAsia="el"/>
        </w:rPr>
        <w:t xml:space="preserve"> </w:t>
      </w:r>
      <w:r>
        <w:rPr>
          <w:b/>
          <w:bCs/>
          <w:lang w:val="el" w:eastAsia="el"/>
        </w:rPr>
        <w:t>Η χορήγηση της προκαταβολής πραγματοποιείται έως την 1</w:t>
      </w:r>
      <w:r>
        <w:rPr>
          <w:b/>
          <w:bCs/>
          <w:sz w:val="30"/>
          <w:szCs w:val="30"/>
          <w:vertAlign w:val="superscript"/>
          <w:lang w:val="el" w:eastAsia="el"/>
        </w:rPr>
        <w:t>η</w:t>
      </w:r>
      <w:r>
        <w:rPr>
          <w:b/>
          <w:bCs/>
          <w:lang w:val="el" w:eastAsia="el"/>
        </w:rPr>
        <w:t>-4-2024, με ανάλογη εφαρμογή των οριζόμενων στις παρ. 5, 6, 7 και 8 του άρθρου 5.</w:t>
      </w:r>
    </w:p>
    <w:p>
      <w:pPr>
        <w:pStyle w:val="MainText"/>
        <w:spacing w:before="120" w:after="0"/>
        <w:rPr>
          <w:lang w:val="el" w:eastAsia="el"/>
        </w:rPr>
      </w:pPr>
      <w:r>
        <w:rPr>
          <w:b/>
          <w:bCs/>
          <w:lang w:val="el" w:eastAsia="el"/>
        </w:rPr>
        <w:t>5.</w:t>
      </w:r>
      <w:r>
        <w:rPr>
          <w:lang w:val="el" w:eastAsia="el"/>
        </w:rPr>
        <w:t xml:space="preserve"> </w:t>
      </w:r>
      <w:r>
        <w:rPr>
          <w:b/>
          <w:bCs/>
          <w:lang w:val="el" w:eastAsia="el"/>
        </w:rPr>
        <w:t>Ποσά προκαταβολής της επιστροφής ΕΦΚ, τα οποία χορηγήθηκαν σε πρόσωπα που δεν πληρούν τις προϋποθέσεις συμπερίληψής τους στα δικαιούχα επιστροφής ΕΦΚ πρόσωπα της παρ.1 του άρθρου 2 και δεν συμπεριλαμβάνονται στο αρχείο των δικαιούχων επιστροφής ΕΦΚ προσώπων, βάσει της παρ.2 του άρθρου 5, επιστρέφονται ως αχρεωστήτως καταβληθέντα, σύμφωνα με τα οριζόμενα στην παρ. 9 του άρθρου 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Αρμόδια υπηρεσία επιστροφής του Ε.Φ.Κ - Διαδικασία χορήγησης της επιστροφής του Ε.Φ.Κ </w:t>
      </w:r>
    </w:p>
    <w:p>
      <w:pPr>
        <w:spacing w:before="240" w:after="240"/>
        <w:rPr>
          <w:lang w:val="el" w:eastAsia="el"/>
        </w:rPr>
      </w:pPr>
      <w:r>
        <w:rPr>
          <w:b/>
          <w:bCs/>
          <w:lang w:val="el" w:eastAsia="el"/>
        </w:rPr>
        <w:t>–Συμψηφισμός προκαταβολής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Το Υπουργείο Αγροτικής Ανάπτυξης και Τροφίμων (ΥΠΑΑΤ) διαβιβάζει στη Γενική Διεύθυνση Ηλεκτρονικής Διακυβέρνησης (ΓΔΗΛΕΔ), μέχρι την 15</w:t>
      </w:r>
      <w:r>
        <w:rPr>
          <w:b/>
          <w:bCs/>
          <w:sz w:val="30"/>
          <w:szCs w:val="30"/>
          <w:vertAlign w:val="superscript"/>
          <w:lang w:val="el" w:eastAsia="el"/>
        </w:rPr>
        <w:t>η</w:t>
      </w:r>
      <w:r>
        <w:rPr>
          <w:b/>
          <w:bCs/>
          <w:lang w:val="el" w:eastAsia="el"/>
        </w:rPr>
        <w:t>-11-2024, αρχείο (σε ψηφιακό μέσο), με τους ΑΦΜ των δικαιούχων προσώπων της παρ. 1 του άρθρου 2 και ανά ΑΦΜ, τον αριθμό τραπεζικού λογαριασμού (ΙΒΑΝ), την ετήσια δικαιούμενη ποσότητα καυσίμου καθώς και την επιδοτούμενη για την οποία δύναται να λάβει επιστροφή βάσει των παρ. 1 και 2 του άρθρου 3, για το σύνολο των δραστηριοτήτων του κάθε δικαιούχου προσώπου, με την επιφύλαξη των οριζόμενων στην παρ. 3.</w:t>
      </w:r>
    </w:p>
    <w:p>
      <w:pPr>
        <w:pStyle w:val="MainText"/>
        <w:spacing w:before="120" w:after="0"/>
        <w:rPr>
          <w:lang w:val="el" w:eastAsia="el"/>
        </w:rPr>
      </w:pPr>
      <w:r>
        <w:rPr>
          <w:b/>
          <w:bCs/>
          <w:lang w:val="el" w:eastAsia="el"/>
        </w:rPr>
        <w:t>3.</w:t>
      </w:r>
      <w:r>
        <w:rPr>
          <w:lang w:val="el" w:eastAsia="el"/>
        </w:rPr>
        <w:t xml:space="preserve"> </w:t>
      </w:r>
      <w:r>
        <w:rPr>
          <w:b/>
          <w:bCs/>
          <w:lang w:val="el" w:eastAsia="el"/>
        </w:rPr>
        <w:t>Το Υπουργείο Αγροτικής Ανάπτυξης και Τροφίμων (ΥΠΑΑΤ), διενεργεί διασταυρωτικό έλεγχο των αρχείων της παρ. 1 του άρθρου 4 και της παρ. 2 του παρόντος άρθρου και εφόσον διαπιστώσει την ύπαρξη περιπτώσεων όπου πρόσωπα τα οποία έχουν συμπεριληφθεί ως δικαιούχα προκαταβολής της επιστροφής, δεν πληρούν τις προϋποθέσεις συμπερίληψής τους στα δικαιούχα επιστροφής ΕΦΚ πρόσωπα της παρ.1 του άρθρου 2 και δεν συμπεριλαμβάνονται στο αρχείο της παρ. 2 του παρόντος άρθρου, εντός της ίδιας ημερομηνίας της παρ. 2, διαβιβάζει στη Γενική Διεύθυνση Ηλεκτρονικής Διακυβέρνησης (ΓΔΗΛΕΔ), αρχείο σε ψηφιακό μέσο, με τους ΑΦΜ των προσώπων αυτών.</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Διεύθυνση Ανάπτυξης Τελωνειακών, Ελεγκτικών και Επιχειρησιακών Εφαρμογών (ΔΑΤΕ) της Γενικής Διεύθυνσης Ηλεκτρονικής Διακυβέρνησης (ΓΔΗΛΕΔ) επεξεργάζεται ψηφιακά τα στοιχεία των δικαιούχων προσώπων και υπολογίζει τα ποσά επιστροφής του Ε.Φ.Κ, με βάση τις επιδοτούμενες ποσότητες καυσίμου σε λίτρα, όπως έχουν προσδιορισθεί βάσει της παρ. 2 και μετά την αφαίρεση τυχόν ποσών προκαταβολών της επιστροφής του Ε.Φ.Κ. που έχουν χορηγηθεί βάσει του άρθρου 4.</w:t>
      </w:r>
    </w:p>
    <w:p>
      <w:pPr>
        <w:spacing w:before="240" w:after="240"/>
        <w:rPr>
          <w:lang w:val="el" w:eastAsia="el"/>
        </w:rPr>
      </w:pPr>
      <w:r>
        <w:rPr>
          <w:b/>
          <w:bCs/>
          <w:lang w:val="el" w:eastAsia="el"/>
        </w:rPr>
        <w:t>Εφόσον από τον ως άνω υπολογισμό των ποσών επιστροφής ΕΦΚ διαπιστωθεί ότι έχουν χορηγηθεί σε δικαιούχα πρόσωπα, ποσά προκαταβολής της επιστροφής του Ε.Φ.Κ. τα οποία είναι μεγαλύτερα από τα δικαιούμενα ποσά επιστροφής, η Διεύθυνση Ανάπτυξης Τελωνειακών, Ελεγκτικών και Επιχειρησιακών Εφαρμογών (ΔΑΤΕ) της Γενικής Διεύθυνσης Ηλεκτρονικής Διακυβέρνησης (ΓΔΗΛΕΔ) δημιουργεί αρχείο στο οποίο περιλαμβάνονται τα ΑΦΜ των εν λόγω δικαιούχων προσώπων και τα υπερβάλλοντα χρηματικά ποσά ανά ΑΦΜ.</w:t>
      </w:r>
    </w:p>
    <w:p>
      <w:pPr>
        <w:pStyle w:val="MainText"/>
        <w:spacing w:before="120" w:after="0"/>
        <w:rPr>
          <w:lang w:val="el" w:eastAsia="el"/>
        </w:rPr>
      </w:pPr>
      <w:r>
        <w:rPr>
          <w:b/>
          <w:bCs/>
          <w:lang w:val="el" w:eastAsia="el"/>
        </w:rPr>
        <w:t>5.</w:t>
      </w:r>
      <w:r>
        <w:rPr>
          <w:lang w:val="el" w:eastAsia="el"/>
        </w:rPr>
        <w:t xml:space="preserve"> </w:t>
      </w:r>
      <w:r>
        <w:rPr>
          <w:b/>
          <w:bCs/>
          <w:lang w:val="el" w:eastAsia="el"/>
        </w:rPr>
        <w:t>H Διεύθυνση Ανάπτυξης Φορολογικών Εφαρμογών (ΔΑΦΕ) της Γενικής Διεύθυνσης Ηλεκτρονικής Διακυβέρνησης (ΓΔΗΛΕΔ) αντλεί τα στοιχεία λογαριασμού πληρωμών (σε μορφή ΙΒΑΝ) κάθε δικαιούχου από τα δηλωθέντα στην πλατφόρμα «Δήλωση Λογαριασμού IBAN» της ψηφιακής πύλης myAADE της Ανεξάρτητης Αρχής Δημοσίων Εσόδων (ΑΑΔΕ). Για όσους δικαιούχους δεν έχει δηλωθεί τραπεζικός λογαριασμός πληρωμών, τα στοιχεία αντλούνται από το αρχείο της παρ. 2. Στη συνέχεια διασταυρώνει και ταυτοποιεί τα στοιχεία αυτά, με τα τηρούμενα στους παρόχους υπηρεσιών πληρωμών. Σε περίπτωση που δεν καταστεί εφικτή η ταυτοποίηση των δηλωθέντων στοιχείων λογαριασμού πληρωμών του δικαιούχου ή δεν εμφανίζεται ο ΙΒΑΝ λογαριασμός του, η ΔΑΦΕ αποστέλλει στον δικαιούχο ηλεκτρονικό μήνυμα, προκειμένου αυτός να γνωστοποιήσει στη Φορολογική Διοίκηση λογαριασμό πληρωμών με μορφή ΙΒΑΝ στην επιλογή Μητρώο και Επικοινωνία / Δήλωση Λογαριασμού ΙΒΑΝ στο myAADE, εντός δεκαπέντε (15) ημερών από την διαβίβαση του αρχείου με τους δικαιούχους από το ΥΠΑΑΤ.</w:t>
      </w:r>
    </w:p>
    <w:p>
      <w:pPr>
        <w:pStyle w:val="MainText"/>
        <w:spacing w:before="120" w:after="0"/>
        <w:rPr>
          <w:lang w:val="el" w:eastAsia="el"/>
        </w:rPr>
      </w:pPr>
      <w:r>
        <w:rPr>
          <w:b/>
          <w:bCs/>
          <w:lang w:val="el" w:eastAsia="el"/>
        </w:rPr>
        <w:t>6.</w:t>
      </w:r>
      <w:r>
        <w:rPr>
          <w:lang w:val="el" w:eastAsia="el"/>
        </w:rPr>
        <w:t xml:space="preserve"> </w:t>
      </w:r>
      <w:r>
        <w:rPr>
          <w:b/>
          <w:bCs/>
          <w:lang w:val="el" w:eastAsia="el"/>
        </w:rPr>
        <w:t>Μετά την ως άνω επιτυχή ταυτοποίηση, η ΔΑΦΕ εκδίδει και αποστέλλει στις ΔΟΥ φορολογίας των δικαιούχων επιστροφής, ή στο Κέντρο Βεβαίωσης και Είσπραξης (ΚΕΒΕΙΣ)/ΚΕΜΕEΠ/ΚΕΦΟΜΕΠ ψηφιακά εκκαθαρισμένα ατομικά φύλλα έκπτωσης (ΑΦΕΚ). Για την εξόφληση των εν λόγω ΑΦΕΚ εφόσον η κατάσταση του φορολογούμενου επιτρέπει την έκδοση εντολής μεταφοράς, ήτοι ενδεικτικά, ο φορολογούμενος δεν είναι αποβιώσας, ανενεργός, απενεργοποιημένος, η ΔΑΦΕ, προς πίστωση των λογαριασμών των δικαιούχων, εκδίδει κεντρικά εντολές μεταφοράς με χρέωση του λογαριασμού της κάθε ΔΟΥ/ΚΕΒΕΙΣ/ ΚΕΜΕEΠ/ΚΕΦΟΜΕΠ που τηρείται στην Τράπεζα της Ελλάδος (ΤτΕ).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ΔΟΥ/ΚΕΒΕΙΣ/ ΚΕΜΕEΠ/ΚΕΦΟΜΕΠ.</w:t>
      </w:r>
    </w:p>
    <w:p>
      <w:pPr>
        <w:pStyle w:val="MainText"/>
        <w:spacing w:before="120" w:after="0"/>
        <w:rPr>
          <w:lang w:val="el" w:eastAsia="el"/>
        </w:rPr>
      </w:pPr>
      <w:r>
        <w:rPr>
          <w:b/>
          <w:bCs/>
          <w:lang w:val="el" w:eastAsia="el"/>
        </w:rPr>
        <w:t>7.</w:t>
      </w:r>
      <w:r>
        <w:rPr>
          <w:lang w:val="el" w:eastAsia="el"/>
        </w:rPr>
        <w:t xml:space="preserve"> </w:t>
      </w:r>
      <w:r>
        <w:rPr>
          <w:b/>
          <w:bCs/>
          <w:lang w:val="el" w:eastAsia="el"/>
        </w:rPr>
        <w:t>Στη συνέχεια η ΔΑΦΕ αποστέλλει προς την Τράπεζα της Ελλάδος την ως άνω πληροφορία με αρχεία διεπαφής συγκεντρωτικά για κάθε ΔΟΥ/ΚΕΒΕΙΣ/ ΚΕΜΕEΠ/ΚΕΦΟΜΕΠ προκειμένου να πιστωθεί ο ενδιάμεσος λογαριασμός του Υπουργείου Εθνικής Οικονομίας &amp; Οικονομικών που τηρείται στην Τράπεζα της Ελλάδος με ΙΒΑΝ GR22 0100 0230 0000 0242 1220 698 και με ονομασία «Πληρωμές ΕΔ με τη μεσολάβηση της ΔΙΑΣ ΑΕ».</w:t>
      </w:r>
    </w:p>
    <w:p>
      <w:pPr>
        <w:spacing w:before="240" w:after="240"/>
        <w:rPr>
          <w:lang w:val="el" w:eastAsia="el"/>
        </w:rPr>
      </w:pPr>
      <w:r>
        <w:rPr>
          <w:b/>
          <w:bCs/>
          <w:lang w:val="el" w:eastAsia="el"/>
        </w:rPr>
        <w:t>Για τις περιπτώσεις όπου η κατάσταση του φορολογούμενου δεν είναι η δέουσα κατά τα ανωτέρω, ή έχει παρέλθει η προθεσμία δήλωσης του λογαριασμού πληρωμών σε μορφή ΙΒΑΝ από τον δικαιούχο, η ΔΑΦΕ αποστέλλει στη ΔΟΥ φορολογίας του ή στο Κέντρο Βεβαίωσης και Είσπραξης (ΚΕΒΕΙΣ)/ ΚΕΜΕEΠ/ΚΕΦΟΜΕΠ, ψηφιακά εκκαθαρισμένα ΑΦΕΚ για τη διενέργεια σχετικού ελέγχου και την πίστωση των προς επιστροφή ποσών στους λογαριασμούς πληρωμών των δικαιούχων. Τα ψηφιακά εκκαθαρισμένα ΑΦΕΚ φέρουν στις θέσεις υπογραφών της σύνταξης και εκκαθάρισης την υπογραφή του Διοικητή της ΑΑΔΕ με μηχανογραφική σήμανση και την σφραγίδα της ΑΑΔΕ.</w:t>
      </w:r>
    </w:p>
    <w:p>
      <w:pPr>
        <w:pStyle w:val="MainText"/>
        <w:spacing w:before="120" w:after="0"/>
        <w:rPr>
          <w:lang w:val="el" w:eastAsia="el"/>
        </w:rPr>
      </w:pPr>
      <w:r>
        <w:rPr>
          <w:b/>
          <w:bCs/>
          <w:lang w:val="el" w:eastAsia="el"/>
        </w:rPr>
        <w:t>8.</w:t>
      </w:r>
      <w:r>
        <w:rPr>
          <w:lang w:val="el" w:eastAsia="el"/>
        </w:rPr>
        <w:t xml:space="preserve"> </w:t>
      </w:r>
      <w:r>
        <w:rPr>
          <w:b/>
          <w:bCs/>
          <w:lang w:val="el" w:eastAsia="el"/>
        </w:rPr>
        <w:t>Η ΔΑΦΕ αποστέλλει αίτημα πληρωμής στη Διεύθυνση Λογαριασμών και Ταμειακού Προγραμματισμού του Γενικού Λογιστηρίου του Κράτους, το οποίο περιλαμβάνει το συνολικό αριθμό των δικαιούχων, το ποσό που αφορά στο ανά συναλλαγή κόστος προς τρίτους (ΔΙΑΣ ΑΕ), σύμφωνα με την υπ΄ αρ. 109/12-03-2019 πράξη του Διοικητή της Τράπεζας της Ελλάδος καθώς και το συνολικό ποσό μεταφοράς σε λογαριασμούς των δικαιούχων. Ταυτόχρονα η ΔΑΦΕ αποστέλλει στη ΔΙΑΣ ΑΕ αναλυτική ψηφιακή κατάσταση δικαιούχων, με συγκεκριμένη μορφή στην οποία περιλαμβάνονται κατ’ ελάχιστον τα στοιχεία ΑΦΜ, ΙΒΑΝ και ποσό για κάθε δικαιούχο.</w:t>
      </w:r>
    </w:p>
    <w:p>
      <w:pPr>
        <w:spacing w:before="240" w:after="240"/>
        <w:rPr>
          <w:lang w:val="el" w:eastAsia="el"/>
        </w:rPr>
      </w:pPr>
      <w:r>
        <w:rPr>
          <w:b/>
          <w:bCs/>
          <w:lang w:val="el" w:eastAsia="el"/>
        </w:rPr>
        <w:t>Η Διεύθυνση Λογαριασμών και Ταμειακού Προγραμματισμού του Γενικού Λογιστηρίου του Κράτους εκδίδει εντολή προς την Τράπεζα της Ελλάδος για χρέωση του λογαριασμού του Ελληνικού Δημοσίου Νο 200 «Ελληνικό Δημόσιο -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ανωτέρω πράξη του Διοικητή της Τράπεζας της Ελλάδος.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ενδιάμεσος λογαριασμός με ΙΒΑΝ GR22 0100 0230 0000 0242 1220 698 με ονομασία «Πληρωμές ΕΔ με τη μεσολάβηση της ΔΙΑΣ ΑΕ» προκειμένου να διοδευθούν οι επιμέρους πληρωμές, με τη μεσολάβηση της ΔΙΑΣ ΑΕ, βάσει του προαναφερόμενου αναλυτικού αρχείου που έχει αποστείλει η ΔΑΦΕ, προς τους ΙΒΑΝ λογαριασμούς πληρωμών των δικαιούχων.</w:t>
      </w:r>
    </w:p>
    <w:p>
      <w:pPr>
        <w:spacing w:before="240" w:after="240"/>
        <w:rPr>
          <w:lang w:val="el" w:eastAsia="el"/>
        </w:rPr>
      </w:pPr>
      <w:r>
        <w:rPr>
          <w:b/>
          <w:bCs/>
          <w:lang w:val="el" w:eastAsia="el"/>
        </w:rPr>
        <w:t>Για τις συναλλαγές που απορρίφθηκαν / απέτυχαν να πληρωθούν από τα ιδρύματα πληρωμών τα ποσά επιστρέφονται στον ανωτέρω ενδιάμεσο λογαριασμό και η ΔΙΑΣ ΑΕ ενημερώνει τη ΔΑΦΕ με τα αναλυτικά στοιχεία πληρωμών. Στη συνέχεια η ΔΑΦΕ αποστέλλει αίτημα στη Διεύθυνση Λογαριασμών και Ταμειακού Προγραμματισμού για την επιστροφή των ποσών στους λογαριασμούς των αρμόδιων ΔΟΥ/ΚΕΒΕΙΣ/ΚΕΜΕEΠ/ΚΕΦΟΜΕΠ χρεώνοντας τον ως άνω ενδιάμεσο λογαριασμό και πιστώνοντας τον λογαριασμό της κατά περίπτωση ΔΟΥ/ΚΕΒΕΙΣ/ΚΕΜΕEΠ/ΚΕΦΟΜΕΠ. Παράλληλα η ΔΑΦΕ ενημερώνει τις ΔΟΥ/ΚΕΒΕΙΣ/ΚΕΜΕEΠ/ΚΕΦΟΜΕΠ για τις απορριφθείσες συναλλαγές. Μετά την πίστωση του λογαριασμού η ΔΟΥ/ΚΕΒΕΙΣ/ΚΕΜΕEΠ/ΚΕΦΟΜΕΠ προβαίνει στις κατά τις ισχύουσες διατάξεις περαιτέρω ενέργειές της.</w:t>
      </w:r>
    </w:p>
    <w:p>
      <w:pPr>
        <w:spacing w:before="240" w:after="240"/>
        <w:rPr>
          <w:lang w:val="el" w:eastAsia="el"/>
        </w:rPr>
      </w:pPr>
      <w:r>
        <w:rPr>
          <w:b/>
          <w:bCs/>
          <w:lang w:val="el" w:eastAsia="el"/>
        </w:rPr>
        <w:t>Η εμφάνιση του ποσού που αφορά στο ανά συναλλαγή κόστος προς τρίτους (ΔΙΑΣ ΑΕ) στη δημόσια ληψοδοσία πραγματοποιείται με την έκδοση του οικείου συμψηφιστικού χρηματικού εντάλματος από τη Γενική Διεύθυνση Οικονομικών Υπηρεσιών (ΓΔΟΥ) του Υπουργείου Εθνικής Οικονομίας και Οικονομικών.</w:t>
      </w:r>
    </w:p>
    <w:p>
      <w:pPr>
        <w:pStyle w:val="MainText"/>
        <w:spacing w:before="120" w:after="0"/>
        <w:rPr>
          <w:lang w:val="el" w:eastAsia="el"/>
        </w:rPr>
      </w:pPr>
      <w:r>
        <w:rPr>
          <w:b/>
          <w:bCs/>
          <w:lang w:val="el" w:eastAsia="el"/>
        </w:rPr>
        <w:t>9.</w:t>
      </w:r>
      <w:r>
        <w:rPr>
          <w:lang w:val="el" w:eastAsia="el"/>
        </w:rPr>
        <w:t xml:space="preserve"> </w:t>
      </w:r>
      <w:r>
        <w:rPr>
          <w:b/>
          <w:bCs/>
          <w:lang w:val="el" w:eastAsia="el"/>
        </w:rPr>
        <w:t>Σε περίπτωση που ποσά προκαταβολής της επιστροφής ΕΦΚ χορηγήθηκαν ως αχρεωστήτως καταβληθέντα, σύμφωνα με τα οριζόμενα στις παρ. 3 και 4 του παρόντος, τα ψηφιακά αρχεία στα οποία περιλαμβάνονται τα ποσά και οι ΑΦΜ των προσώπων που είχαν συμπεριληφθεί ως δικαιούχοι προκαταβολής της επιστροφής και δεν πληρούσαν τις προϋποθέσεις, καθώς και τα ψηφιακά αρχεία στα οποία συμπεριλαμβάνονται τα ποσά και οι ΑΦΜ των προσώπων που έλαβαν μεγαλύτερη από την δικαιούμενη επιστροφή, αποτελούν νόμιμο τίτλο για την ταμειακή βεβαίωση που δημιουργείται κεντρικά από τη ΔΑΦΕ, με βεβαιούσα αρχή το Υπουργείο Αγροτικής Ανάπτυξης και Τροφίμων (ΥΠΑΑΤ) και αποστέλλεται στις αρμόδιες για τη φορολογία εισοδήματος Δ.Ο.Υ. ή στο ΚΕΒΕΙΣ, εάν η αρμόδια για τη φορολογία εισοδήματος Δ.Ο.Υ. ανήκει στο Νομό Αττικής ή Θεσσαλονίκης. Τα αχρεωστήτως καταβληθέντα ποσά βεβαιώνονται και εισπράττονται ως έσοδο του κρατικού προϋπολογισμού, κατά τις διατάξεις του ν. 4978/2022 (Κ.Ε.Δ.Ε.), στον Αναλυτικό Λογαριασμό Εσόδου (ΑΛΕ) 1110303001 «ΕΦΚ diesel κίνησης - προϊόντα εγχώρια και από Ε.Ε.».</w:t>
      </w:r>
    </w:p>
    <w:p>
      <w:pPr>
        <w:spacing w:before="240" w:after="240"/>
        <w:rPr>
          <w:lang w:val="el" w:eastAsia="el"/>
        </w:rPr>
      </w:pPr>
      <w:r>
        <w:rPr>
          <w:b/>
          <w:bCs/>
          <w:lang w:val="el" w:eastAsia="el"/>
        </w:rPr>
        <w:t>Μετά από ενέργειες της ΔΑΦΕ, τα ανωτέρω πρόσωπα λαμβάνουν στην προσωπική τους θυρίδα (καρτέλα e-Κοινοποιήσεις, που είναι προσβάσιμη μέσω της επιλογής Μητρώο και Επικοινωνία της ψηφιακής πύλης myAADE), σχετική ειδοποίηση με διαδρομή (link) που τους οδηγεί στην αντίστοιχη σελίδα του δικτυακού τόπου της ΑΑΔΕ, όπου έχουν τη δυνατότητα να ανακτήσουν και να εκτυπώσουν την ταυτότητα οφειλής για το ποσό που βεβαιώθηκε ως αχρεωστήτως καταβληθέν. Επιπρόσθετα αποστέλλεται ηλεκτρονική ειδοποίηση στη δηλωθείσα στην ΑΑΔΕ από αυτούς διεύθυνση ηλεκτρονικού ταχυδρομείου. Σε περίπτωση που δεν είναι δυνατή η κοινοποίηση, κατά το προηγούμενο εδάφιο, η ατομική ειδοποίηση κοινοποιείται από τις Δ.Ο.Υ. /ΚΕΒΕΙΣ, ταχυδρομικά, στον οφειλέτη και στα τυχόν συνυπόχρεα πρόσωπα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Έλεγχος της νόμιμης χρησιμοποίησης του πετρελαίου εσωτερικής καύσης (DIESEL) </w:t>
      </w:r>
    </w:p>
    <w:p>
      <w:pPr>
        <w:spacing w:before="240" w:after="240"/>
        <w:rPr>
          <w:lang w:val="el" w:eastAsia="el"/>
        </w:rPr>
      </w:pPr>
      <w:r>
        <w:rPr>
          <w:b/>
          <w:bCs/>
          <w:lang w:val="el" w:eastAsia="el"/>
        </w:rPr>
        <w:t>κινητήρωναποκλειστικά στη γεωργία, για το οποίο χορηγείται επιστροφή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πετρέλαιο εσωτερικής καύσης (DIESEL) κινητήρων το οποίο προμηθεύονται τα δικαιούχα πρόσωπα του άρθρου 2, από την 1η Ιανουαρίου έως και την 31η Δεκεμβρίου του έτους 2024, για αποκλειστική χρήση στη γεωργία και για το οποίο χορηγείται επιστροφή του Ε.Φ.Κ, σύμφωνα με την παρούσα, υπόκειται σε έλεγχο νόμιμης χρήσης από τις αρμόδιες τελωνειακές και λοιπές ελεγκτικές υπηρεσίες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Οι τελωνειακές και λοιπές ελεγκτικές υπηρεσίες της Ανεξάρτητης Αρχής Δημοσίων Εσόδων (ΑΑΔΕ) δύναται να πραγματοποιούν ελέγχους των ποσοτήτων πετρελαίου κινητήρων τις οποίες προμηθεύτηκαν τα δικαιούχα πρόσωπα και των παραστατικών αγορών πετρελαίου κινητήρων που αυτά τηρούν στο αρχείο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από τον έλεγχο διαπιστωθεί η επιστροφή ποσού Ε.Φ.Κ για ποσότητες πετρελαίου κινητήρων για τις οποίες δεν έχουν εκδοθεί τα σχετικά παραστατικά πώλησης, με σχετική πράξη καταλογισμού που θα εκδοθεί από το αρμόδιο Τελωνείο, που βρίσκεται η έδρα του δικαιούχου αναζητείται για τις ποσότητες αυτές, η επιστροφή των χρηματικών ποσών που έχουν πιστωθεί στους λογαριασμούς των δικαιούχων.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1"/>
        <w:gridCol w:w="6530"/>
        <w:gridCol w:w="179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2"/>
        <w:gridCol w:w="7068"/>
        <w:gridCol w:w="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ΟΣΠΡΙΑ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7619"/>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ΠΟΡΤΟΚΑΛΙΕΣ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 ΨΥΧΑΝΘΩΝ (ΓIΑ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(VOPRD)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ΠΑΡΑΓΩΓΗ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7368"/>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 -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(ΑΓΡΙΑΓΚΙΝΑΡΑ, ΣΟΥΣΑΜΙ, ΜΑΝΙΤΑΡΙΑ ΤΡΟΥΦΑ, 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(ΚΑΣΤ.-ΚΕΡ.-ΔΑΜ.-ΡΟΔΙΕΣ-ΣΥΚ.-ΑΒΟΚ.-ΚΥΔ. 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7619"/>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454"/>
        <w:gridCol w:w="192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ΠΟΣΟΤΗΤΕΣ ΚΑΤΑΝΑΛΩΣΗΣ ΠΕΤΡΕΛΑΙΟΥ ΚΙΝΗΤΗΡΩΝ ΕΤΟΥΣ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 ΠΡΟΒΑΤΙΝΕΣ - ΚΡΙΑΡΙΑ/ΤΡΑΓΟΙ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8"/>
        <w:gridCol w:w="5235"/>
        <w:gridCol w:w="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 Τμήμα Β΄ β) Δ/νση Ανάπτυξης Φορολογικών Εφαρμογών, Τμήμα Ε΄</w:t>
      </w:r>
    </w:p>
    <w:p>
      <w:pPr>
        <w:pStyle w:val="MainText"/>
        <w:spacing w:before="120" w:after="0"/>
        <w:rPr>
          <w:lang w:val="el" w:eastAsia="el"/>
        </w:rPr>
      </w:pPr>
      <w:r>
        <w:rPr>
          <w:b/>
          <w:bCs/>
          <w:lang w:val="el" w:eastAsia="el"/>
        </w:rPr>
        <w:t>3.</w:t>
      </w:r>
      <w:r>
        <w:rPr>
          <w:lang w:val="el" w:eastAsia="el"/>
        </w:rPr>
        <w:t xml:space="preserve"> </w:t>
      </w:r>
      <w:r>
        <w:rPr>
          <w:b/>
          <w:bCs/>
          <w:lang w:val="el" w:eastAsia="el"/>
        </w:rPr>
        <w:t>Τράπεζα της Ελλάδος – Δ/νση Εργασιών Δημοσίου (email:</w:t>
      </w:r>
      <w:hyperlink r:id="rId4" w:history="1">
        <w:r>
          <w:rPr>
            <w:rStyle w:val="Hyperlink"/>
            <w:b/>
            <w:bCs/>
            <w:color w:val="0000EE"/>
            <w:u w:color="0000EE"/>
            <w:lang w:val="el" w:eastAsia="el"/>
          </w:rPr>
          <w:t>Egatzonas@ bankofgreece.g</w:t>
        </w:r>
      </w:hyperlink>
      <w:r>
        <w:rPr>
          <w:b/>
          <w:bCs/>
          <w:lang w:val="el" w:eastAsia="el"/>
        </w:rPr>
        <w:t>)</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ΔΙΑΣ Α.Ε. – Γενική Δ/νση Συστήματος Πληρωμών – Δ/νση Λειτουργιών ( e-mail: </w:t>
      </w:r>
      <w:hyperlink r:id="rId5" w:history="1">
        <w:r>
          <w:rPr>
            <w:rStyle w:val="Hyperlink"/>
            <w:b/>
            <w:bCs/>
            <w:color w:val="0000EE"/>
            <w:u w:color="0000EE"/>
            <w:lang w:val="el" w:eastAsia="el"/>
          </w:rPr>
          <w:t>diasbo@dias.com.gr</w:t>
        </w:r>
      </w:hyperlink>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Στρατηγικής Τεχνολογιών Πληροφορικής (ΔΙ.Σ.ΤΕ.ΠΛ) της Γ.Δ.ΗΛΕ.Δ. (για ενημέρωση της</w:t>
      </w:r>
    </w:p>
    <w:p>
      <w:pPr>
        <w:spacing w:before="240" w:after="240"/>
        <w:rPr>
          <w:lang w:val="el" w:eastAsia="el"/>
        </w:rPr>
      </w:pPr>
      <w:r>
        <w:rPr>
          <w:b/>
          <w:bCs/>
          <w:lang w:val="el" w:eastAsia="el"/>
        </w:rPr>
        <w:t>Ηλεκτρονικής Βιβλιοθήκης και του portal της ΑΑΔΕ e-mail:</w:t>
      </w:r>
      <w:hyperlink r:id="rId6" w:history="1">
        <w:r>
          <w:rPr>
            <w:rStyle w:val="Hyperlink"/>
            <w:b/>
            <w:bCs/>
            <w:color w:val="0000EE"/>
            <w:u w:color="0000EE"/>
            <w:lang w:val="el" w:eastAsia="el"/>
          </w:rPr>
          <w:t>siteadmin@ aade.g</w:t>
        </w:r>
      </w:hyperlink>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Επιχειρησιακών Διαδικασιών</w:t>
      </w:r>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Αγροτικής Ανάπτυξης και Τροφίμων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Δ΄ εκτός ΔΔΔΥ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Γενική Δ/νση Φορολογίας</w:t>
      </w:r>
    </w:p>
    <w:p>
      <w:pPr>
        <w:spacing w:before="240" w:after="240"/>
        <w:rPr>
          <w:lang w:val="el" w:eastAsia="el"/>
        </w:rPr>
      </w:pP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Σώματος Δίωξης Οικονομικού Εγκλήματος (ΣΔΟΕ) του Υπουργείου Οικονομικών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Αποκεντρωμένων Δομών</w:t>
      </w:r>
    </w:p>
    <w:p>
      <w:pPr>
        <w:pStyle w:val="StructureList1"/>
        <w:spacing w:before="120" w:after="0"/>
        <w:rPr>
          <w:lang w:val="el" w:eastAsia="el"/>
        </w:rPr>
      </w:pPr>
      <w:r>
        <w:rPr>
          <w:b/>
          <w:bCs/>
          <w:lang w:val="el" w:eastAsia="el"/>
        </w:rPr>
        <w:t>γ)</w:t>
      </w:r>
      <w:r>
        <w:rPr>
          <w:b/>
          <w:bCs/>
          <w:lang w:val="en" w:eastAsia="en"/>
        </w:rPr>
        <w:tab/>
      </w:r>
      <w:r>
        <w:rPr>
          <w:b/>
          <w:bCs/>
          <w:lang w:val="el" w:eastAsia="el"/>
        </w:rPr>
        <w:t>Γενική Διεύθυνση Αγροτικής Ανάπτυξης</w:t>
      </w:r>
    </w:p>
    <w:p>
      <w:pPr>
        <w:spacing w:before="240" w:after="240"/>
        <w:rPr>
          <w:lang w:val="el" w:eastAsia="el"/>
        </w:rPr>
      </w:pPr>
      <w:r>
        <w:rPr>
          <w:b/>
          <w:bCs/>
          <w:lang w:val="el" w:eastAsia="el"/>
        </w:rPr>
        <w:t>Διεύθυνση Εγγείων Βελτιώσεων και Εδαφοϋδάτινων Πόρων</w:t>
      </w:r>
    </w:p>
    <w:p>
      <w:pPr>
        <w:spacing w:before="240" w:after="240"/>
        <w:rPr>
          <w:lang w:val="el" w:eastAsia="el"/>
        </w:rPr>
      </w:pPr>
      <w:r>
        <w:rPr>
          <w:b/>
          <w:bCs/>
          <w:lang w:val="el" w:eastAsia="el"/>
        </w:rPr>
        <w:t>Αχαρνών 2 101 76</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Υπουργείο Εθνικής Οικονομίας και Οικονομικών</w:t>
      </w:r>
    </w:p>
    <w:p>
      <w:pPr>
        <w:spacing w:before="240" w:after="240"/>
        <w:rPr>
          <w:lang w:val="el" w:eastAsia="el"/>
        </w:rPr>
      </w:pPr>
      <w:r>
        <w:rPr>
          <w:b/>
          <w:bCs/>
          <w:lang w:val="el" w:eastAsia="el"/>
        </w:rPr>
        <w:t>Γενική Γραμματεία Δημοσιονομικής Πολιτικής</w:t>
      </w:r>
    </w:p>
    <w:p>
      <w:pPr>
        <w:spacing w:before="240" w:after="240"/>
        <w:rPr>
          <w:lang w:val="el" w:eastAsia="el"/>
        </w:rPr>
      </w:pPr>
      <w:r>
        <w:rPr>
          <w:b/>
          <w:bCs/>
          <w:lang w:val="el" w:eastAsia="el"/>
        </w:rPr>
        <w:t>Γενική Δ/νση Θησαυροφυλακίου &amp; Δημοσιονομικών Κανόνων</w:t>
      </w:r>
    </w:p>
    <w:p>
      <w:pPr>
        <w:spacing w:before="240" w:after="240"/>
        <w:rPr>
          <w:lang w:val="el" w:eastAsia="el"/>
        </w:rPr>
      </w:pPr>
      <w:r>
        <w:rPr>
          <w:b/>
          <w:bCs/>
          <w:lang w:val="el" w:eastAsia="el"/>
        </w:rPr>
        <w:t>Δ/νση Λογαριασμών &amp; Ταμειακού Προγραμματισμού</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hyperlink r:id="rId7" w:history="1">
        <w:r>
          <w:rPr>
            <w:rStyle w:val="Hyperlink"/>
            <w:b/>
            <w:bCs/>
            <w:color w:val="0000EE"/>
            <w:u w:color="0000EE"/>
            <w:lang w:val="el" w:eastAsia="el"/>
          </w:rPr>
          <w:t>eirini.koutrou @ opekepe.gr</w:t>
        </w:r>
      </w:hyperlink>
    </w:p>
    <w:p>
      <w:pPr>
        <w:spacing w:before="240" w:after="240"/>
        <w:rPr>
          <w:lang w:val="el" w:eastAsia="el"/>
        </w:rPr>
      </w:pPr>
      <w:hyperlink r:id="rId8" w:history="1">
        <w:r>
          <w:rPr>
            <w:rStyle w:val="Hyperlink"/>
            <w:b/>
            <w:bCs/>
            <w:color w:val="0000EE"/>
            <w:u w:color="0000EE"/>
            <w:lang w:val="el" w:eastAsia="el"/>
          </w:rPr>
          <w:t>theoni.tzegiannaki@ opekepe.gr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ΕΘΝΙΚΗ ΕΝΩΣΗ ΑΓΡΟΤΙΚΩΝ ΣΥΝΕΤΑΙΡΙΣΜΩΝ (ΕΘ.Ε.Α.Σ.)</w:t>
      </w:r>
    </w:p>
    <w:p>
      <w:pPr>
        <w:spacing w:before="240" w:after="240"/>
        <w:rPr>
          <w:lang w:val="el" w:eastAsia="el"/>
        </w:rPr>
      </w:pPr>
      <w:r>
        <w:rPr>
          <w:b/>
          <w:bCs/>
          <w:lang w:val="el" w:eastAsia="el"/>
        </w:rPr>
        <w:t>Αρκαδίας 26 ΤΚ 115 26</w:t>
      </w:r>
    </w:p>
    <w:p>
      <w:pPr>
        <w:spacing w:before="240" w:after="240"/>
        <w:rPr>
          <w:lang w:val="el" w:eastAsia="el"/>
        </w:rPr>
      </w:pPr>
      <w:r>
        <w:rPr>
          <w:b/>
          <w:bCs/>
          <w:lang w:val="el" w:eastAsia="el"/>
        </w:rPr>
        <w:t>email:</w:t>
      </w:r>
      <w:hyperlink r:id="rId9" w:history="1">
        <w:r>
          <w:rPr>
            <w:rStyle w:val="Hyperlink"/>
            <w:b/>
            <w:bCs/>
            <w:color w:val="0000EE"/>
            <w:u w:color="0000EE"/>
            <w:lang w:val="el" w:eastAsia="el"/>
          </w:rPr>
          <w:t>etheas.greece@gmail.com</w:t>
        </w:r>
      </w:hyperlink>
    </w:p>
    <w:p>
      <w:pPr>
        <w:spacing w:before="240" w:after="240"/>
        <w:rPr>
          <w:lang w:val="el" w:eastAsia="el"/>
        </w:rPr>
      </w:pPr>
      <w:r>
        <w:rPr>
          <w:b/>
          <w:bCs/>
          <w:lang w:val="el" w:eastAsia="el"/>
        </w:rPr>
        <w:t>(με την παράκληση να ενημερωθούν τα μέλη της)</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gatzonas@bankofgreece.gr" TargetMode="External" /><Relationship Id="rId5" Type="http://schemas.openxmlformats.org/officeDocument/2006/relationships/hyperlink" Target="mailto:diasbo@dias.com.gr" TargetMode="External" /><Relationship Id="rId6" Type="http://schemas.openxmlformats.org/officeDocument/2006/relationships/hyperlink" Target="mailto:siteadmin@aade.gr" TargetMode="External" /><Relationship Id="rId7" Type="http://schemas.openxmlformats.org/officeDocument/2006/relationships/hyperlink" Target="mailto:eirini.koutrou@opekepe.gr" TargetMode="External" /><Relationship Id="rId8" Type="http://schemas.openxmlformats.org/officeDocument/2006/relationships/hyperlink" Target="mailto:theoni.tzegiannaki@opekepe.gr" TargetMode="External" /><Relationship Id="rId9" Type="http://schemas.openxmlformats.org/officeDocument/2006/relationships/hyperlink" Target="mailto:etheas.greece@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