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34897 ΕΞ 2024</w:t>
      </w:r>
    </w:p>
    <w:p>
      <w:pPr>
        <w:spacing w:before="240" w:after="240"/>
        <w:rPr>
          <w:lang w:val="el" w:eastAsia="el"/>
        </w:rPr>
      </w:pPr>
      <w:r>
        <w:rPr>
          <w:b/>
          <w:bCs/>
          <w:lang w:val="el" w:eastAsia="el"/>
        </w:rPr>
        <w:t>Τροποποίηση της υπό στοιχεία 181218 ΕΞ 2022/ 09.12.2022 κοινής απόφασης του Υπουργού και του Αναπληρωτή Υπουργού Οικονομικών «Καθορισμός των υπηρεσιών, των ποσοτικών στόχων για κάθε υπηρεσία, της μεθόδου και του συστήματος αξιολόγησης της απόδοσης, του ύψους, του χρόνου και τον τρόπου καταβολής του Κινήτρου Επίτευξης Δημοσιονομικών Στόχων (Κ.Ε.Δ.Σ.) του άρθρου 25 ν. 4940/2022 (Α’ 112)» (Β’ 6328).</w:t>
      </w:r>
    </w:p>
    <w:p>
      <w:pPr>
        <w:spacing w:before="240" w:after="240"/>
        <w:rPr>
          <w:lang w:val="el" w:eastAsia="el"/>
        </w:rPr>
      </w:pPr>
      <w:r>
        <w:rPr>
          <w:b/>
          <w:bCs/>
          <w:lang w:val="el" w:eastAsia="el"/>
        </w:rPr>
        <w:t>Ο ΥΠΟΥΡΓΟΣ ΚΑΙ Ο ΥΦΥΠΟΥΡΓΟΣ 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 και 4 του άρθρου 25 και της παρ. 10 του άρθρου 62 του ν. 4940/2022 «Σύστημα στοχοθεσίας,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 (Α’ 112), καθώς και του άρθρου 37 του ν. 5092/2024 «Όροι αξιοποίησης της δημόσιας περιουσίας στις παραθαλάσσιες περιοχές και άλλες διατάξεις» (Α’ 33),</w:t>
      </w:r>
    </w:p>
    <w:p>
      <w:pPr>
        <w:pStyle w:val="StructureList1"/>
        <w:spacing w:before="120" w:after="0"/>
        <w:rPr>
          <w:lang w:val="el" w:eastAsia="el"/>
        </w:rPr>
      </w:pPr>
      <w:r>
        <w:rPr>
          <w:lang w:val="el" w:eastAsia="el"/>
        </w:rPr>
        <w:t>β)</w:t>
      </w:r>
      <w:r>
        <w:rPr>
          <w:lang w:val="en" w:eastAsia="en"/>
        </w:rPr>
        <w:tab/>
      </w:r>
      <w:r>
        <w:rPr>
          <w:lang w:val="el" w:eastAsia="el"/>
        </w:rPr>
        <w:t>του άρθρου 40 του ν. 849/1978 «Περί παροχής κινήτρων δια την ενίσχυσιν της περιφερειακής και οικονομικής αναπτύξεως της χώρας» (Α’ 232), όπως συμπληρώθηκε με το άρθρο 8 του ν. 2129/1993 (Α’ 57),</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 όπως αυτό διατηρήθηκε σε ισχύ με την περ.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α της παρ. 3 και της περ. ε της παρ. 5 του άρθρου 24 του ν. 4270/2014 «Αρχές δημοσιονομικής διαχείρισης και εποπτείας (ενσωμάτωση της Οδηγίας 2011/85/ ΕΕ)- 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ζ)</w:t>
      </w:r>
      <w:r>
        <w:rPr>
          <w:lang w:val="en" w:eastAsia="en"/>
        </w:rPr>
        <w:tab/>
      </w:r>
      <w:r>
        <w:rPr>
          <w:lang w:val="el" w:eastAsia="el"/>
        </w:rPr>
        <w:t>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 (Α’ 74),</w:t>
      </w:r>
    </w:p>
    <w:p>
      <w:pPr>
        <w:pStyle w:val="StructureList1"/>
        <w:spacing w:before="120" w:after="0"/>
        <w:rPr>
          <w:lang w:val="el" w:eastAsia="el"/>
        </w:rPr>
      </w:pPr>
      <w:r>
        <w:rPr>
          <w:lang w:val="el" w:eastAsia="el"/>
        </w:rPr>
        <w:t>η)</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θ)</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ι)</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w:t>
      </w:r>
    </w:p>
    <w:p>
      <w:pPr>
        <w:pStyle w:val="StructureList1"/>
        <w:spacing w:before="120" w:after="0"/>
        <w:rPr>
          <w:lang w:val="el" w:eastAsia="el"/>
        </w:rPr>
      </w:pPr>
      <w:r>
        <w:rPr>
          <w:lang w:val="el" w:eastAsia="el"/>
        </w:rPr>
        <w:t>ιβ)</w:t>
      </w:r>
      <w:r>
        <w:rPr>
          <w:lang w:val="en" w:eastAsia="en"/>
        </w:rPr>
        <w:tab/>
      </w:r>
      <w:r>
        <w:rPr>
          <w:lang w:val="el" w:eastAsia="el"/>
        </w:rPr>
        <w:t>του ν. 2292/1995 «Οργάνωση και λειτουργία Υπουργείου Εθνικής Άμυνας, διοίκηση και έλεγχος των Ενόπλων Δυνάμεων και άλλες διατάξεις» (Α’ 35),</w:t>
      </w:r>
    </w:p>
    <w:p>
      <w:pPr>
        <w:pStyle w:val="StructureList1"/>
        <w:spacing w:before="120" w:after="0"/>
        <w:rPr>
          <w:lang w:val="el" w:eastAsia="el"/>
        </w:rPr>
      </w:pPr>
      <w:r>
        <w:rPr>
          <w:lang w:val="el" w:eastAsia="el"/>
        </w:rPr>
        <w:t>ιγ)</w:t>
      </w:r>
      <w:r>
        <w:rPr>
          <w:lang w:val="en" w:eastAsia="en"/>
        </w:rPr>
        <w:tab/>
      </w:r>
      <w:r>
        <w:rPr>
          <w:lang w:val="el" w:eastAsia="el"/>
        </w:rPr>
        <w:t>του π.δ. 141/2017 «Οργανισμός του Υπουργείου Εσωτερικών» (Α’ 180),</w:t>
      </w:r>
    </w:p>
    <w:p>
      <w:pPr>
        <w:pStyle w:val="StructureList1"/>
        <w:spacing w:before="120" w:after="0"/>
        <w:rPr>
          <w:lang w:val="el" w:eastAsia="el"/>
        </w:rPr>
      </w:pPr>
      <w:r>
        <w:rPr>
          <w:lang w:val="el" w:eastAsia="el"/>
        </w:rPr>
        <w:t>ιδ)</w:t>
      </w:r>
      <w:r>
        <w:rPr>
          <w:lang w:val="en" w:eastAsia="en"/>
        </w:rPr>
        <w:tab/>
      </w:r>
      <w:r>
        <w:rPr>
          <w:lang w:val="el" w:eastAsia="el"/>
        </w:rPr>
        <w:t>του π.δ. 133/2017 «Οργανισμός του Υπουργείου Διοικητικής Ανασυγκρότησης» (Α’ 161),</w:t>
      </w:r>
    </w:p>
    <w:p>
      <w:pPr>
        <w:pStyle w:val="StructureList1"/>
        <w:spacing w:before="120" w:after="0"/>
        <w:rPr>
          <w:lang w:val="el" w:eastAsia="el"/>
        </w:rPr>
      </w:pPr>
      <w:r>
        <w:rPr>
          <w:lang w:val="el" w:eastAsia="el"/>
        </w:rPr>
        <w:t>ιε)</w:t>
      </w:r>
      <w:r>
        <w:rPr>
          <w:lang w:val="en" w:eastAsia="en"/>
        </w:rPr>
        <w:tab/>
      </w:r>
      <w:r>
        <w:rPr>
          <w:lang w:val="el" w:eastAsia="el"/>
        </w:rPr>
        <w:t>του π.δ. 18/2018 «Οργανισμός Υπουργείου Παιδείας, Έρευνας και Θρησκευμάτων» (Α’ 31),</w:t>
      </w:r>
    </w:p>
    <w:p>
      <w:pPr>
        <w:pStyle w:val="StructureList1"/>
        <w:spacing w:before="120" w:after="0"/>
        <w:rPr>
          <w:lang w:val="el" w:eastAsia="el"/>
        </w:rPr>
      </w:pPr>
      <w:r>
        <w:rPr>
          <w:lang w:val="el" w:eastAsia="el"/>
        </w:rPr>
        <w:t>ιστ)</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ιζ)</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ιη)</w:t>
      </w:r>
      <w:r>
        <w:rPr>
          <w:lang w:val="en" w:eastAsia="en"/>
        </w:rPr>
        <w:tab/>
      </w:r>
      <w:r>
        <w:rPr>
          <w:lang w:val="el" w:eastAsia="el"/>
        </w:rPr>
        <w:t>του π.δ. 132/2017 «Οργανισμός Υπουργείου Περιβάλλοντος και Ενέργειας (Υ.Π.ΕΝ)» (Α’ 160),</w:t>
      </w:r>
    </w:p>
    <w:p>
      <w:pPr>
        <w:pStyle w:val="StructureList1"/>
        <w:spacing w:before="120" w:after="0"/>
        <w:rPr>
          <w:lang w:val="el" w:eastAsia="el"/>
        </w:rPr>
      </w:pPr>
      <w:r>
        <w:rPr>
          <w:lang w:val="el" w:eastAsia="el"/>
        </w:rPr>
        <w:t>ιθ)</w:t>
      </w:r>
      <w:r>
        <w:rPr>
          <w:lang w:val="en" w:eastAsia="en"/>
        </w:rPr>
        <w:tab/>
      </w:r>
      <w:r>
        <w:rPr>
          <w:lang w:val="el" w:eastAsia="el"/>
        </w:rPr>
        <w:t>του π.δ. 5/2022 «Οργανισμός του Υπουργείου Ανάπτυξης και Επενδύσεων» (Α’ 15),</w:t>
      </w:r>
    </w:p>
    <w:p>
      <w:pPr>
        <w:pStyle w:val="StructureList1"/>
        <w:spacing w:before="120" w:after="0"/>
        <w:rPr>
          <w:lang w:val="el" w:eastAsia="el"/>
        </w:rPr>
      </w:pPr>
      <w:r>
        <w:rPr>
          <w:lang w:val="el" w:eastAsia="el"/>
        </w:rPr>
        <w:t>κ)</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κα)</w:t>
      </w:r>
      <w:r>
        <w:rPr>
          <w:lang w:val="en" w:eastAsia="en"/>
        </w:rPr>
        <w:tab/>
      </w:r>
      <w:r>
        <w:rPr>
          <w:lang w:val="el" w:eastAsia="el"/>
        </w:rPr>
        <w:t>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StructureList1"/>
        <w:spacing w:before="120" w:after="0"/>
        <w:rPr>
          <w:lang w:val="el" w:eastAsia="el"/>
        </w:rPr>
      </w:pPr>
      <w:r>
        <w:rPr>
          <w:lang w:val="el" w:eastAsia="el"/>
        </w:rPr>
        <w:t>κβ)</w:t>
      </w:r>
      <w:r>
        <w:rPr>
          <w:lang w:val="en" w:eastAsia="en"/>
        </w:rPr>
        <w:tab/>
      </w:r>
      <w:r>
        <w:rPr>
          <w:lang w:val="el" w:eastAsia="el"/>
        </w:rPr>
        <w:t>του π.δ. 6/2021 «Οργανισμός του Υπουργείου Δικαιοσύνης» (Α’ 7),</w:t>
      </w:r>
    </w:p>
    <w:p>
      <w:pPr>
        <w:pStyle w:val="StructureList1"/>
        <w:spacing w:before="120" w:after="0"/>
        <w:rPr>
          <w:lang w:val="el" w:eastAsia="el"/>
        </w:rPr>
      </w:pPr>
      <w:r>
        <w:rPr>
          <w:lang w:val="el" w:eastAsia="el"/>
        </w:rPr>
        <w:t>κγ)</w:t>
      </w:r>
      <w:r>
        <w:rPr>
          <w:lang w:val="en" w:eastAsia="en"/>
        </w:rPr>
        <w:tab/>
      </w:r>
      <w:r>
        <w:rPr>
          <w:lang w:val="el" w:eastAsia="el"/>
        </w:rPr>
        <w:t>του π.δ. 4/2018 «Οργανισμός Υπουργείου Πολιτισμού και Αθλητισμού» (Α’ 7),</w:t>
      </w:r>
    </w:p>
    <w:p>
      <w:pPr>
        <w:pStyle w:val="StructureList1"/>
        <w:spacing w:before="120" w:after="0"/>
        <w:rPr>
          <w:lang w:val="el" w:eastAsia="el"/>
        </w:rPr>
      </w:pPr>
      <w:r>
        <w:rPr>
          <w:lang w:val="el" w:eastAsia="el"/>
        </w:rPr>
        <w:t>κδ)</w:t>
      </w:r>
      <w:r>
        <w:rPr>
          <w:lang w:val="en" w:eastAsia="en"/>
        </w:rPr>
        <w:tab/>
      </w:r>
      <w:r>
        <w:rPr>
          <w:lang w:val="el" w:eastAsia="el"/>
        </w:rPr>
        <w:t>του π.δ. 106/2020 «Οργανισμός Υπουργείου Μετανάστευσης και Ασύλου» (Α’ 255),</w:t>
      </w:r>
    </w:p>
    <w:p>
      <w:pPr>
        <w:pStyle w:val="StructureList1"/>
        <w:spacing w:before="120" w:after="0"/>
        <w:rPr>
          <w:lang w:val="el" w:eastAsia="el"/>
        </w:rPr>
      </w:pPr>
      <w:r>
        <w:rPr>
          <w:lang w:val="el" w:eastAsia="el"/>
        </w:rPr>
        <w:t>κε)</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κστ)</w:t>
      </w:r>
      <w:r>
        <w:rPr>
          <w:lang w:val="en" w:eastAsia="en"/>
        </w:rPr>
        <w:tab/>
      </w:r>
      <w:r>
        <w:rPr>
          <w:lang w:val="el" w:eastAsia="el"/>
        </w:rPr>
        <w:t>του π.δ. 13/2018 «Οργανισμός Υπουργείου Ναυτιλίας και Νησιωτικής Πολιτικής» (Α’ 26),</w:t>
      </w:r>
    </w:p>
    <w:p>
      <w:pPr>
        <w:pStyle w:val="StructureList1"/>
        <w:spacing w:before="120" w:after="0"/>
        <w:rPr>
          <w:lang w:val="el" w:eastAsia="el"/>
        </w:rPr>
      </w:pPr>
      <w:r>
        <w:rPr>
          <w:lang w:val="el" w:eastAsia="el"/>
        </w:rPr>
        <w:t>κζ)</w:t>
      </w:r>
      <w:r>
        <w:rPr>
          <w:lang w:val="en" w:eastAsia="en"/>
        </w:rPr>
        <w:tab/>
      </w:r>
      <w:r>
        <w:rPr>
          <w:lang w:val="el" w:eastAsia="el"/>
        </w:rPr>
        <w:t>του π.δ. 127/2017 «Οργανισμός Υπουργείου Τουρισμού» (Α’ 157),</w:t>
      </w:r>
    </w:p>
    <w:p>
      <w:pPr>
        <w:pStyle w:val="StructureList1"/>
        <w:spacing w:before="120" w:after="0"/>
        <w:rPr>
          <w:lang w:val="el" w:eastAsia="el"/>
        </w:rPr>
      </w:pPr>
      <w:r>
        <w:rPr>
          <w:lang w:val="el" w:eastAsia="el"/>
        </w:rPr>
        <w:t>κη)</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κθ)</w:t>
      </w:r>
      <w:r>
        <w:rPr>
          <w:lang w:val="en" w:eastAsia="en"/>
        </w:rPr>
        <w:tab/>
      </w:r>
      <w:r>
        <w:rPr>
          <w:lang w:val="el" w:eastAsia="el"/>
        </w:rPr>
        <w:t>του π.δ. 70/2021 «Σύσταση Υπουργείου Κλιματικής Κρίσης και Πολιτικής Προστασίας, μεταφορά υπηρεσιών και αρμοδιοτήτων μεταξύ Υπουργείων» (Α’ 161),</w:t>
      </w:r>
    </w:p>
    <w:p>
      <w:pPr>
        <w:pStyle w:val="StructureList1"/>
        <w:spacing w:before="120" w:after="0"/>
        <w:rPr>
          <w:lang w:val="el" w:eastAsia="el"/>
        </w:rPr>
      </w:pPr>
      <w:r>
        <w:rPr>
          <w:lang w:val="el" w:eastAsia="el"/>
        </w:rPr>
        <w:t>λ)</w:t>
      </w:r>
      <w:r>
        <w:rPr>
          <w:lang w:val="en" w:eastAsia="en"/>
        </w:rPr>
        <w:tab/>
      </w:r>
      <w:r>
        <w:rPr>
          <w:lang w:val="el" w:eastAsia="el"/>
        </w:rPr>
        <w:t>του ν. 4831/2021 «Οργανισμός του Νομικού Συμβουλίου του Κράτους (ΝΣΚ) και κατάσταση των λειτουργών και των υπαλλήλων του» (Α’ 170),</w:t>
      </w:r>
    </w:p>
    <w:p>
      <w:pPr>
        <w:pStyle w:val="StructureList1"/>
        <w:spacing w:before="120" w:after="0"/>
        <w:rPr>
          <w:lang w:val="el" w:eastAsia="el"/>
        </w:rPr>
      </w:pPr>
      <w:r>
        <w:rPr>
          <w:lang w:val="el" w:eastAsia="el"/>
        </w:rPr>
        <w:t>λα)</w:t>
      </w:r>
      <w:r>
        <w:rPr>
          <w:lang w:val="en" w:eastAsia="en"/>
        </w:rPr>
        <w:tab/>
      </w:r>
      <w:r>
        <w:rPr>
          <w:lang w:val="el" w:eastAsia="el"/>
        </w:rPr>
        <w:t>του π.δ. 51/2022 «Αρμοδιότητες των Διευθύνσεων της κεντρικής υπηρεσίας του Νομικού Συμβουλίου του Κράτους (Ν.Σ.Κ.)» (Α’ 123),</w:t>
      </w:r>
    </w:p>
    <w:p>
      <w:pPr>
        <w:pStyle w:val="StructureList1"/>
        <w:spacing w:before="120" w:after="0"/>
        <w:rPr>
          <w:lang w:val="el" w:eastAsia="el"/>
        </w:rPr>
      </w:pPr>
      <w:r>
        <w:rPr>
          <w:lang w:val="el" w:eastAsia="el"/>
        </w:rPr>
        <w:t>λβ)</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λγ)</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λδ)</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προσωπικού-Τροποποίηση και συμπλήρωση του π.δ. 77/2023 (Α’ 130)-Μεταβατικές διατάξεις» (Α’ 139).</w:t>
      </w:r>
    </w:p>
    <w:p>
      <w:pPr>
        <w:spacing w:before="240" w:after="240"/>
        <w:rPr>
          <w:lang w:val="el" w:eastAsia="el"/>
        </w:rPr>
      </w:pPr>
      <w:r>
        <w:rPr>
          <w:lang w:val="el" w:eastAsia="el"/>
        </w:rPr>
        <w:t>2. Την υπ’ αρ. 102928/10.07.2023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3. Την υπό στοιχεία ΥΠΕΝ/ΔΕΠΕΑ/68315/502/01.07.2022 κοινή υπουργική απόφαση «Μέτρα για τη βελτίωση της ενεργειακής απόδοσης και την εξοικονόμηση ενέργειας σε κτίρια και εγκαταστάσεις που ανήκουν σε ή χρησιμοποιούνται από φορείς του Δημόσιου Τομέα» (Β’ 3424).</w:t>
      </w:r>
    </w:p>
    <w:p>
      <w:pPr>
        <w:spacing w:before="240" w:after="240"/>
        <w:rPr>
          <w:lang w:val="el" w:eastAsia="el"/>
        </w:rPr>
      </w:pPr>
      <w:r>
        <w:rPr>
          <w:lang w:val="el" w:eastAsia="el"/>
        </w:rPr>
        <w:t>4. Το υπό στοιχεία 2/2396/ΔΕΠ/18.01.2023 (ΑΔΑ: Ψ519Η- 8ΦΚ) έγγραφο της Διεύθυνσης Εισοδηματικής Πολιτικής του Υπουργείου Εθνικής Οικονομίας και Οικονομικών.</w:t>
      </w:r>
    </w:p>
    <w:p>
      <w:pPr>
        <w:spacing w:before="240" w:after="240"/>
        <w:rPr>
          <w:lang w:val="el" w:eastAsia="el"/>
        </w:rPr>
      </w:pPr>
      <w:r>
        <w:rPr>
          <w:lang w:val="el" w:eastAsia="el"/>
        </w:rPr>
        <w:t>5. Την υπό στοιχεία 34762 ΕΞ 2024/05.03.2024 εισήγηση της Προϊσταμένης της Γενικής Διεύθυνσης Οικονομικών Υπηρεσιών του Υπουργείου Εθνικής Οικονομίας και Οικονομικών με την οποία βεβαιώνεται ότι από τις διατάξεις της παρούσας δεν προκαλείται επιπλέον επιβάρυνση στον προϋπολογισμό του Υπουργείου Εθνικής Οικονομίας και Οικονομικών για το τρέχον οικονομικό έτος και για τα έτη του εγκεκριμένου ΜΠΔΣ, πέραν αυτής που προκλήθηκε με το άρθρο 25 του ν. 4940/2022 (Α’ 112), αποφασίζουμε:</w:t>
      </w:r>
    </w:p>
    <w:p>
      <w:pPr>
        <w:spacing w:before="240" w:after="240"/>
        <w:rPr>
          <w:lang w:val="el" w:eastAsia="el"/>
        </w:rPr>
      </w:pPr>
      <w:r>
        <w:rPr>
          <w:lang w:val="el" w:eastAsia="el"/>
        </w:rPr>
        <w:t>I. Τροποποιούμε την υπό στοιχεία 181218 ΕΞ 2022/ 09.12.2022 (Β’ 6328) κοινή απόφαση του Υπουργού και του Αναπληρωτή Υπουργού Οικονομικών, ως εξής:</w:t>
      </w:r>
    </w:p>
    <w:p>
      <w:pPr>
        <w:spacing w:before="240" w:after="240"/>
        <w:rPr>
          <w:lang w:val="el" w:eastAsia="el"/>
        </w:rPr>
      </w:pPr>
      <w:r>
        <w:rPr>
          <w:lang w:val="el" w:eastAsia="el"/>
        </w:rPr>
        <w:t>Α. Στο μόνο εδάφιο του άρθρου 1 περί του καθορισμού των Υπηρεσιών που λαμβάνουν Κίνητρο Επίτευξης Δημοσιονομικών Στόχων γίνονται οι εξής αλλαγές: α) το εδάφιο αριθμείται ως παρ. 1, β) στην παρ. 1 προστίθεται η φράση «πλην των μετακλητών» πριν τη φράση «στις Υπηρεσίες του Ταμείου Παρακαταθηκών και Δανείων», γ) προστίθεται παρ. 2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Καθορισμός των Υπηρεσιών που λαμβάνουν Κίνητρο Επίτευξης Δημοσιονομικών Στόχων</w:t>
      </w:r>
    </w:p>
    <w:p>
      <w:pPr>
        <w:spacing w:before="240" w:after="240"/>
        <w:rPr>
          <w:lang w:val="el" w:eastAsia="el"/>
        </w:rPr>
      </w:pPr>
      <w:r>
        <w:rPr>
          <w:lang w:val="el" w:eastAsia="el"/>
        </w:rPr>
        <w:t>1. Στους πολιτικούς υπαλλήλους και στο ένστολο προσωπικό των Γενικών Διευθύνσεων Οικονομικών Υπηρεσιών των Υπουργείων Οικονομικών, Ανάπτυξης και Επενδύσεων, Εξωτερικών, Εθνικής Άμυνας, Παιδείας και Θρησκευμάτων, Εργασίας και Κοινωνικών Υποθέσεων, Υγείας, Περιβάλλοντος και Ενέργειας, Προστασίας του Πολίτη,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Τουρισμού, Κλιματικής Κρίσης και Πολιτικής Προστασίας, των Οικονομικών Υπηρεσιών της Προεδρίας της Δημοκρατίας, των Οικονομικών Υπηρεσιών της Προεδρίας της Κυβέρνησης, των Υπηρεσιών που υπάγονται στον Υπουργό Οικονομικών, των υπηρεσιών της Γενικής Γραμματείας Δημοσιονομικής Πολιτικής του Υπουργείου Οικονομικών, των υπηρεσιών της Γενικής Γραμματείας Οικονομικής Πολιτικής, των υπηρεσιών της Γενικής Γραμματείας Φορολογικής Πολιτικής και Δημόσιας Περιουσίας, των υπηρεσιών της Ειδικής Γραμματείας Διαχείρισης Ιδιωτικού Χρέους του Υπουργείου Οικονομικών, των λοιπών υπηρεσιών που υπάγονται στην Υπηρεσιακή Γραμματεία του Υπουργείου Οικονομικών, στους υπαλλήλους των Ιδιαίτερων Γραφείων Υπουργού, Αναπληρωτή Υπουργού, Υφυπουργού, Γενικών και Ειδικών Γραμματέων του Υπουργείου Οικονομικών, πλην των μετακλητών, στις υπηρεσίες του Ταμείου Παρακαταθηκών και Δανείων, καθώς και στους διοικητικούς υπαλλήλους των υπηρεσιακών μονάδων της Κεντρικής Υπηρεσίας του Νομικού Συμβουλίου του Κράτους, του Γραφείου Νομικού Συμβουλίου του Κράτους στον Πειραιά και των περιφερειακών Δικαστικών Γραφείων του Νομικού Συμβουλίου του Κράτους, οι οποίοι αμείβονται με βάση τις διατάξεις του ν. 4354/2015 (Α’ 176) ή του ν. 4472/2017 (Α’ 74), καθώς και στους πολιτικούς υπαλλήλους και το ένστολο προσωπικό που είναι αποσπασμένοι ή διατίθενται στις ανωτέρω υπηρεσίες, ανεξαρτήτως των διατάξεων με τις οποίες αμείβονται, και οι οποίοι εμπλέκονται άμεσα στην επίτευξη των συγκεκριμένων ποσοτικών που τίθενται με την παρούσα, δύναται να καταβάλλεται Κίνητρο Επίτευξης Δημοσιονομικών Στόχων (Κ.Ε.Δ.Σ.), υπό την προϋπόθεση επίτευξης των στόχων που τίθενται με την παρούσα για κάθε υπηρεσία.</w:t>
      </w:r>
    </w:p>
    <w:p>
      <w:pPr>
        <w:spacing w:before="240" w:after="240"/>
        <w:rPr>
          <w:lang w:val="el" w:eastAsia="el"/>
        </w:rPr>
      </w:pPr>
      <w:r>
        <w:rPr>
          <w:lang w:val="el" w:eastAsia="el"/>
        </w:rPr>
        <w:t>2. Για υπηρεσίες που έχουν αλλάξει υπαγωγή εντός του έτους 2023 δυνάμει των διατάξεων των π.δ. 77/2023 και 82/2023, το ΚΕΔΣ για το έτος 2023 καταβάλλεται αναλογικά, με βάση τους στόχους που είχαν τεθεί για τις εν λόγω υπηρεσίες πριν την έκδοση των προαναφερθεισών διατάξεων».</w:t>
      </w:r>
    </w:p>
    <w:p>
      <w:pPr>
        <w:spacing w:before="240" w:after="240"/>
        <w:rPr>
          <w:lang w:val="el" w:eastAsia="el"/>
        </w:rPr>
      </w:pPr>
      <w:r>
        <w:rPr>
          <w:lang w:val="el" w:eastAsia="el"/>
        </w:rPr>
        <w:t>Β. Στο Άρθρο 16 περί καθορισμού της μεθόδου και του συστήματος αξιολόγησης της απόδοσης, του ύψους, του χρόνου και του τρόπου καταβολής του Κινήτρου Επίτευξης Δημοσιονομικών Στόχων γίνονται οι εξής αλλαγές: α) στην παρ. 1 τροποποιείται η προθεσμία καταβολής του Κ.Ε.Δ.Σ., β) στην παρ. 3 τροποποιούνται η προθεσμία σύνταξης των εκθέσεων επίτευξης στόχων και η προθεσμία διαβίβασης αυτών και των λοιπών δικαιολογητικών στην αρμόδια οικονομική υπηρεσία, και μετά το πέμπτο εδάφιο προστίθενται τέσσερα νέα εδάφια, γ) η παρ. 5 αντικαθίσταται, δ) στην παρ. 6 μετά τη λέξη «υπηρεσία», όπου αυτή αναφέρεται, προστίθεται η φράση «ή οργανική μονάδα»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Καθορισμός της μεθόδου και του συστήματος αξιολόγησης της απόδοσης, του ύψους, του χρόνου και του τρόπου καταβολής του Κινήτρου Επίτευξης Δημοσιονομικών Στόχων</w:t>
      </w:r>
    </w:p>
    <w:p>
      <w:pPr>
        <w:spacing w:before="240" w:after="240"/>
        <w:rPr>
          <w:lang w:val="el" w:eastAsia="el"/>
        </w:rPr>
      </w:pPr>
      <w:r>
        <w:rPr>
          <w:lang w:val="el" w:eastAsia="el"/>
        </w:rPr>
        <w:t>1. Το Κ.Ε.Δ.Σ. καταβάλλεται ετησίως, εντός του πρώτου τετραμήνου κάθε έτους για τους στόχους που έχουν τεθεί για το προηγούμενο ημερολογιακό έτος, κατόπιν αξιολόγησης της επίτευξης των στόχων ανά υπηρεσία, σύμφωνα με την παρούσα.</w:t>
      </w:r>
    </w:p>
    <w:p>
      <w:pPr>
        <w:spacing w:before="240" w:after="240"/>
        <w:rPr>
          <w:lang w:val="el" w:eastAsia="el"/>
        </w:rPr>
      </w:pPr>
      <w:r>
        <w:rPr>
          <w:lang w:val="el" w:eastAsia="el"/>
        </w:rPr>
        <w:t>2. Επιπλέον των στόχων που τίθενται στα άρθρα 2 έως 15 και ειδικά για τα έτη 2022 και 2023, απαραίτητη προϋπόθεση για τη λήψη του Κ.Ε.Δ.Σ. σε οποιοδήποτε υπηρεσία, είναι να έχει οριστεί διοικητικός υπεύθυνος για τις εγκαταστάσεις του φορέα όπου εργάζονται οι υπάλληλοι που καταβάλλεται το Κ.Ε.Δ.Σ. και να έχουν πραγματοποιηθεί οι ενέργειες που προβλέπονται στο άρθρο 6 της υπό στοιχεία ΥΠΕΝ/ΔΕΠΕΑ/68315/502/ 1.7.2022 (Β’ 3424) απόφασης.</w:t>
      </w:r>
    </w:p>
    <w:p>
      <w:pPr>
        <w:spacing w:before="240" w:after="240"/>
        <w:rPr>
          <w:lang w:val="el" w:eastAsia="el"/>
        </w:rPr>
      </w:pPr>
      <w:r>
        <w:rPr>
          <w:lang w:val="el" w:eastAsia="el"/>
        </w:rPr>
        <w:t>3. Ο Προϊστάμενος κάθε Διεύθυνσης των άρθρων 2 έως και 15 ή σε περίπτωση μη ύπαρξης Διεύθυνσης, του Τμήματος ή Μονάδας ή Γραφείου των άρθρων 2 έως και 15, λαμβάνοντας υπόψη ιδίως τη φύση των καθηκόντων των υπαλλήλων, την υλοποίηση των ποσοτικών στόχων, που τίθενται με την παρούσα, και την εύρυθμη λειτουργία της οργανικής μονάδας, ορίζει τους υπαλλήλους, οι οποίοι εμπλέκονται άμεσα στην επίτευξη των ανωτέρω στόχων και είναι επιλέξιμοι για την καταβολή του Κ.Ε.Δ.Σ.. Επιπλέον ο Προϊστάμενος ορίζει το ύψος του Κ.Ε.Δ.Σ. για κάθε υπάλληλο, ως ποσοστό του αθροίσματος του ετήσιου βασικού μισθού και του επιδόματος θέσης ευθύνης κάθε υπαλλήλου και το οποίο δεν μπορεί να υπερβαίνει το ποσοστό της παρ. 4 του παρόντος και με την επιφύλαξη της τήρησης των ορίων δαπανών για κάθε υπηρεσία της παρ. 5 του παρόντος. Συντάσσει την ως άνω έκθεση επίτευξης στόχων, έως τις δέκα πέντε (15) Μαρτίου μετά την παρέλευση του έτους αναφοράς της αξιολόγησης. Η ως άνω επιλογή τελεί υπό την έγκριση του οικείου αμέσως ανώτερου ιεραρχικά αρμοδίου οργάνου, το οποίο αποφαίνεται σχετικώς εντός προθεσμίας δέκα (10) ημερών από τη γνωστοποίησή της σε αυτό. Με την άπρακτη παρέλευση της ως άνω προθεσμίας, η επιλογή θεωρείται ότι έχει γίνει αποδεκτή. Ειδικά για την καταβολή του ΚΕΔΣ στον Προϊστάμενο της Διεύθυνσης, η έκθεση επίτευξης στόχων και το ύψος του ΚΕΔΣ εγκρίνονται από τον οικείο Προϊστάμενο Γενικής Διεύθυνσης ή το αμέσως ανώτερο ιεραρχικά αρμόδιο όργανο, εντός δέκα ημερών από τη γνωστοποίηση της έκθεσης επίτευξης στόχων σε αυτό. Με την άπρακτη παρέλευση της ως άνω προθεσμίας, η επιλογή θεωρείται ότι έχει γίνει αποδεκτή.</w:t>
      </w:r>
    </w:p>
    <w:p>
      <w:pPr>
        <w:spacing w:before="240" w:after="240"/>
        <w:rPr>
          <w:lang w:val="el" w:eastAsia="el"/>
        </w:rPr>
      </w:pPr>
      <w:r>
        <w:rPr>
          <w:lang w:val="el" w:eastAsia="el"/>
        </w:rPr>
        <w:t>Για την καταβολή του ΚΕΔΣ στον Προϊστάμενο της Γενικής Διεύθυνσης, η έκθεση επίτευξης στόχων και το ύψος του ΚΕΔΣ εγκρίνονται από τον οικείο Γενικό Γραμματέα ή το αμέσως ανώτερο ιεραρχικά αρμόδιο όργανο, εντός δέκα ημερών από τη γνωστοποίηση της έκθεσης επίτευξης στόχων σε αυτό. Με την άπρακτη παρέλευση της ως άνω προθεσμίας, η επιλογή θεωρείται ότι έχει γίνει αποδεκτή.</w:t>
      </w:r>
    </w:p>
    <w:p>
      <w:pPr>
        <w:spacing w:before="240" w:after="240"/>
        <w:rPr>
          <w:lang w:val="el" w:eastAsia="el"/>
        </w:rPr>
      </w:pPr>
      <w:r>
        <w:rPr>
          <w:lang w:val="el" w:eastAsia="el"/>
        </w:rPr>
        <w:t>Οι σχετικές εκθέσεις με τους επιλέξιμους υπαλλήλους, καθώς και τα υπόλοιπα δικαιολογητικά του φακέλου της κάθε υπηρεσίας, κατά αναλογική εφαρμογή της διαδικασίας εκκαθάρισης των πρόσθετων αποδοχών, διαβιβάζονται στην αρμόδια για τον τελικό υπολογισμό και την καταβολή του ΚΕΔΣ οικονομική υπηρεσία της παρ. 6 του παρόντος, εντός τριών (3) μηνών από την παρέλευση του έτους αναφοράς, σύμφωνα με τον αριθμό πρωτοκόλλου εισερχομένου εγγράφου, από τους Διευθυντές ή σε περίπτωση μη ύπαρξης Διευθυντή του προϊστάμενου κάθε υπηρεσίας.</w:t>
      </w:r>
    </w:p>
    <w:p>
      <w:pPr>
        <w:spacing w:before="240" w:after="240"/>
        <w:rPr>
          <w:lang w:val="el" w:eastAsia="el"/>
        </w:rPr>
      </w:pPr>
      <w:r>
        <w:rPr>
          <w:lang w:val="el" w:eastAsia="el"/>
        </w:rPr>
        <w:t>4. Το Κ.Ε.Δ.Σ. υπολογίζεται επί του βασικού μισθού και του επιδόματος θέσης ευθύνης, δεν συμψηφίζεται με την προσωπική διαφορά της παρ. 1 του άρθρου 27 του ν. 4354/2015 και την αντίστοιχη του άρθρου 155 του ν. 4472/2017 (Α’ 74), δεν μπορεί να υπερβαίνει, ανά έτος, το δεκαπέντε τοις εκατό (15%) του αθροίσματος του ετήσιου βασικού μισθού και του επιδόματος θέσης ευθύνης κάθε υπαλλήλου και υπόκειται στις ασφαλιστικές εισφορές και λοιπές κρατήσεις των πρόσθετων αποδοχών. Σε περίπτωση επιλέξιμων υπαλλήλων που έχουν υπηρετήσει στην υπηρεσία για χρονικό διάστημα μικρότερο του έτους, ή έχουν λάβει σχετική άδεια άνευ ή μειωμένων αποδοχών, το Κ.Ε.Δ.Σ καταβάλλεται αναλογικά. Το Κ.Ε.Δ.Σ. δεν καταβάλλεται σε υπαλλήλους που έχουν λάβει κατά τη διάρκεια του προηγούμενου έτους ή του τρέχοντος έτους της καταβολής του Κ.Ε.Δ.Σ. και έως την ημερομηνία καταβολής του Κ.Ε.Δ.Σ., κάποια από τις ανταμοιβές των άρθρων 23 ή 24 ή 26 ή 27 του ν. 4940/2022 (Α’ 112).</w:t>
      </w:r>
    </w:p>
    <w:p>
      <w:pPr>
        <w:spacing w:before="240" w:after="240"/>
        <w:rPr>
          <w:lang w:val="el" w:eastAsia="el"/>
        </w:rPr>
      </w:pPr>
      <w:r>
        <w:rPr>
          <w:lang w:val="el" w:eastAsia="el"/>
        </w:rPr>
        <w:t xml:space="preserve">5. Το ύψος της συνολικής ετήσιας δαπάνης του Κ.Ε.Δ.Σ δεν δύναται να υπερβαίνει τα εννέα εκατομμύρια (9.000.000) ευρώ και συγκεκριμένα τα δύο εκατομμύρια διακόσιες χιλιάδες (2.200.000) ευρώ για τους υπαλλήλους της Γενικής Γραμματείας Δημοσιονομικής Πολιτικής, τα δύο εκατομμύρια (2.000.000) ευρώ για τους υπαλλήλους της Γενικής Γραμματείας Φορολογικής Πολιτικής και Δημόσιας Περιουσίας, τις τριακόσιες ογδόντα χιλιάδες (380.000) ευρώ για τους υπαλλήλους της Γενικής Γραμματείας Οικονομικής Πολιτικής, τις τριακόσιες εξήντα χιλιάδες (360.000) ευρώ για τους υπαλλήλους της Ειδικής Γραμματείας Διαχείρισης Ιδιωτικού Χρέους, τις εξακόσιες χιλιάδες (600.000) ευρώ για τους υπαλλήλους των υπηρεσιών που υπάγονται στην Υπηρεσιακή Γραμματέα και τις ενενήντα χιλιάδες (90.000) </w:t>
      </w:r>
    </w:p>
    <w:p>
      <w:pPr>
        <w:spacing w:before="240" w:after="240"/>
        <w:rPr>
          <w:lang w:val="el" w:eastAsia="el"/>
        </w:rPr>
      </w:pPr>
      <w:r>
        <w:rPr>
          <w:lang w:val="el" w:eastAsia="el"/>
        </w:rPr>
        <w:t>ευρώ γιατις λοιπές υπηρεσίες, μονάδες, γραφεία και ιδιαίτερα γραφεία του Υπουργείου Οικονομικών, τις διακόσιες είκοσι χιλιάδες (220.000) ευρώ για τους υπαλλήλους του Νομικού Συμβούλιου του Κράτους, τις διακόσιες χιλιάδες (200.000) ευρώ για τους υπαλλήλους του Ταμείου Παρακαταθηκών και Δανείων, τις ογδόντα εννέα χιλιάδες (89.000) ευρώ για τους υπαλλήλους της Γενικής Διεύθυνσης Οικονομικών Υπηρεσιών του Υπουργείου Ανάπτυξης και Επενδύσεων, τις εκατόν πέντε χιλιάδες (105.000) ευρώ για τους υπαλλήλους της Γενικής Διεύθυνσης Οικονομικών Υπηρεσιών του Υπουργείου Εξωτερικών, τις τριακόσιες χιλιάδες (300.000) ευρώ για τους υπαλλήλους της Γενικής Διεύθυνσης Οικονομικών Υπηρεσιών του Υπουργείου Εθνικής Άμυνας, τις διακόσιες δεκαέξι χιλιάδες (216.000) ευρώ για τους υπαλλήλους της Γενικής Διεύθυνσης Οικονομικών Υπηρεσιών του Υπουργείου Παιδείας και Θρησκευμάτων, τις εκατόν πενήντα έξι χιλιάδες (156.000) ευρώ για τους υπαλλήλους της Γενικής Διεύθυνσης Οικονομικών Υπηρεσιών του Υπουργείου Εργασίας και Κοινωνικών Υποθέσεων, τις εξήντα οκτώ χιλιάδες (68.000) ευρώ για τους υπαλλήλους της Γενικής Διεύθυνσης Οικονομικών Υπηρεσιών του Υπουργείου Υγείας, τις ογδόντα χιλιάδες (80.000) ευρώ για τους υπαλλήλους της Γενικής Διεύθυνσης Οικονομικών Υπηρεσιών του Υπουργείου Περιβάλλοντος και Ενέργειας, τις τετρακόσιες τριάντα επτά χιλιάδες (437.000) ευρώ για τους υπαλλήλους της Γενικής Διεύθυνσης Οικονομικών Υπηρεσιών του Υπουργείου Προστασίας του Πολίτη, τις διακόσιες τριάντα χιλιάδες (230.000) ευρώ για τους υπαλλήλους της Γενικής Διεύθυνσης Οικονομικών Υπηρεσιών του Υπουργείου Πολιτισμού και Αθλητισμού, τις εξήντα χιλιάδες (60.000) ευρώ για τους υπαλλήλους της Γενικής Διεύθυνσης Οικονομικών Υπηρεσιών του Υπουργείου Δικαιοσύνης, τις διακόσιες ογδόντα εννέα χιλιάδες (289.000) ευρώ για τους υπαλλήλους της Γενικής Διεύθυνσης Οικονομικών Υπηρεσιών του Υπουργείου Εσωτερικών, τις ενενήντα χιλιάδες (90.000) ευρώ για τους υπαλλήλους της Γενικής Διεύθυνσης Οικονομικών Υπηρεσιών του Υπουργείου Μετανάστευσης και Ασύλου, τις εκατόν δέκα επτά χιλιάδες (117.000) ευρώ για τους υπαλλήλους της Γενικής Διεύθυνσης Οικονομικών Υπηρεσιών του Υπουργείου Ψηφιακής Διακυβέρνησης, τις εκατόν εβδομήντα δύο χιλιάδες (172.000) ευρώ για τους υπαλλήλους της Γενικής Διεύθυνσης Οικονομικών Υπηρεσιών του Υπουργείου Υποδομών και Μεταφορών, τις διακόσιες είκοσι τέσσερεις χιλιάδες (224.000) ευρώ για τους υπαλλήλους της Γενικής Διεύθυνσης Οικονομικών Υπηρεσιών του Υπουργείου Ναυτιλίας και Νησιωτικής Πολιτικής, τις ενενήντα οκτώ χιλιάδες (98.000) ευρώ για τους υπαλλήλους της Γενικής Διεύθυνσης Οικονομικών Υπηρεσιών του Υπουργείου Αγροτικής Ανάπτυξης και Τροφίμων, τις εξήντα οκτώ χιλιάδες (68.000) ευρώ για τους υπαλλήλους της Γενικής Διεύθυνσης Οικονομικών Υπηρεσιών του Υπουργείου Τουρισμού, τις ενενήντα χιλιάδες (90.000) ευρώ για τους υπαλλήλους της Γενικής Διεύθυνσης Οικονομικών Υπηρεσιών του Υπουργείου Κλιματικής Κρίσης και Πολιτικής Προστασίας, τις είκοσι έξι χιλιάδες (26.000) ευρώ για τους υπαλλήλους της Οικονομικής Υπηρεσίας της Προεδρίας της Δημοκρατίας και τις τριάντα πέντε χιλιάδες (35.000) ευρώ για τους υπαλλήλους της Οικονομικής Υπηρεσίας της Προεδρίας της Κυβέρνησης. Το ύψος της συνολικής ετήσιας δαπάνης του Κ.Ε.Δ.Σ. ανά οργανική μονάδα επιπέδου Διεύθυνσης ή αυτοτελούς Τμήματος ή αυτοτελούς Γραφείου της Γενικής Γραμματείας Δημοσιονομικής Πολιτικής, της Γενικής Γραμματείας Φορολογικής Πολιτικής και Δημόσιας Περιουσίας, της Γενικής Γραμματείας Οικονομικής Πολιτικής, της Ειδικής Γραμματείας Διαχείρισης Ιδιωτικού Χρέους και των υπηρεσιών που υπάγονται στην Υπηρεσιακή Γραμματέα του Υπουργείου Οικονομικών, δεν μπορεί σε κάθε περίπτωση να υπερβαίνει το ποσό που αντιστοιχεί στο ανωτέρω προσδιοριζόμενο ανώτατο όριο κάθε υπηρεσίας, πολλαπλασιαζόμενο με το άθροισμα του ετήσιου βασικού μισθού και του επιδόματος θέσης ευθύνης των υπαλλήλων που υπηρετούν στην εν λόγω οργανική μονάδα κάθε υπηρεσίας, διαιρούμενο με το άθροισμα του ετήσιου βασικού μισθού και του επιδόματος θέσης ευθύνης του συνόλου των υπαλλήλων που υπηρετούν στην υπηρεσία αυτή.</w:t>
      </w:r>
    </w:p>
    <w:p>
      <w:pPr>
        <w:spacing w:before="240" w:after="240"/>
        <w:rPr>
          <w:lang w:val="el" w:eastAsia="el"/>
        </w:rPr>
      </w:pPr>
      <w:r>
        <w:rPr>
          <w:lang w:val="el" w:eastAsia="el"/>
        </w:rPr>
        <w:t>6. Σε περίπτωση που το ύψος της ετήσιας δαπάνης για το Κ.Ε.Δ.Σ. υπερβαίνει για κάποια υπηρεσία ή οργανική μονάδα το όριο της παρ. 5 του παρόντος, το ύψος του Κ.Ε.Δ.Σ. ανά υπάλληλο περιορίζεται αναλόγως για όλους τους δικαιούχους της εν λόγω υπηρεσίας ή οργανικής μονάδας, και καταβάλλεται αναλογικά επί του αρχικά προσδιοριζόμενου Κ.Ε.Δ.Σ. ανά υπάλληλο, όπως έχει οριστεί από τους Προϊσταμένους σύμφωνα με την παρ. 3 του παρόντος, έτσι ώστε η δαπάνη για την εν λόγω υπηρεσία ή οργανική μονάδα να περιορίζεται στα όρια της παρ. 5 του παρόντος. Την αρμοδιότητα για τυχόν περικοπές λόγω υπέρβασης των ορίων της παρ. 5, την εκκαθάριση και καταβολή του Κ.Ε.Δ.Σ. για κάθε υπηρεσία ή οργανική μονάδα έχουν οι οικονομικές υπηρεσίες του κάθε φορέα που υπάγεται η εν λόγω υπηρεσία».</w:t>
      </w:r>
    </w:p>
    <w:p>
      <w:pPr>
        <w:spacing w:before="240" w:after="240"/>
        <w:rPr>
          <w:lang w:val="el" w:eastAsia="el"/>
        </w:rPr>
      </w:pPr>
      <w:r>
        <w:rPr>
          <w:lang w:val="el" w:eastAsia="el"/>
        </w:rPr>
        <w:t>II. Κατά τα λοιπά ισχύει η εν θέματι τροποποιούμενη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Μαρτίου 2024</w:t>
      </w:r>
    </w:p>
    <w:p>
      <w:pPr>
        <w:spacing w:before="240" w:after="240"/>
        <w:rPr>
          <w:lang w:val="el" w:eastAsia="el"/>
        </w:rPr>
      </w:pPr>
      <w:r>
        <w:rPr>
          <w:lang w:val="el" w:eastAsia="el"/>
        </w:rPr>
        <w:t>Ο Υπουργός Ο Υφυπουργός</w:t>
      </w:r>
    </w:p>
    <w:p>
      <w:pPr>
        <w:spacing w:before="240" w:after="240"/>
        <w:rPr>
          <w:lang w:val="el" w:eastAsia="el"/>
        </w:rPr>
      </w:pPr>
      <w:r>
        <w:rPr>
          <w:b/>
          <w:bCs/>
          <w:lang w:val="el" w:eastAsia="el"/>
        </w:rPr>
        <w:t>ΚΩΝΣΤΑΝΤΙΝΟΣ ΑΘΑΝΑΣΙΟΣ</w:t>
      </w:r>
    </w:p>
    <w:p>
      <w:pPr>
        <w:spacing w:before="240" w:after="240"/>
        <w:rPr>
          <w:lang w:val="el" w:eastAsia="el"/>
        </w:rPr>
      </w:pPr>
      <w:r>
        <w:rPr>
          <w:b/>
          <w:bCs/>
          <w:lang w:val="el" w:eastAsia="el"/>
        </w:rPr>
        <w:t>ΧΑΤΖΗΔΑΚΗΣ ΠΕΤΡΑΛΙΑΣ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