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1042</w:t>
      </w:r>
    </w:p>
    <w:p>
      <w:pPr>
        <w:spacing w:before="240" w:after="240"/>
        <w:rPr>
          <w:lang w:val="el" w:eastAsia="el"/>
        </w:rPr>
      </w:pPr>
      <w:r>
        <w:rPr>
          <w:b/>
          <w:bCs/>
          <w:lang w:val="el" w:eastAsia="el"/>
        </w:rPr>
        <w:t>Τροποποίηση της υπό στοιχεία Α.1157/ 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 4308/2014 (Α’ 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 4987/2022 (ΚΦΔ). Τροποποίηση της υπό στοιχεία Α.1021/2023 (Β’ 1826) απόφασης του Διοικητή της ΑΑΔΕ» (Β’ 5994).</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5 του άρθρου 14 και των άρθρων 15 και 15Β του Κώδικα Φορολογικής Διαδικασίας (ν. 4987/2022, Α’ 206), εφεξής ΚΦΔ,</w:t>
      </w:r>
    </w:p>
    <w:p>
      <w:pPr>
        <w:pStyle w:val="StructureList1"/>
        <w:spacing w:before="120" w:after="0"/>
        <w:rPr>
          <w:lang w:val="el" w:eastAsia="el"/>
        </w:rPr>
      </w:pPr>
      <w:r>
        <w:rPr>
          <w:lang w:val="el" w:eastAsia="el"/>
        </w:rPr>
        <w:t>β)</w:t>
      </w:r>
      <w:r>
        <w:rPr>
          <w:lang w:val="en" w:eastAsia="en"/>
        </w:rPr>
        <w:tab/>
      </w:r>
      <w:r>
        <w:rPr>
          <w:lang w:val="el" w:eastAsia="el"/>
        </w:rPr>
        <w:t>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w:t>
      </w:r>
    </w:p>
    <w:p>
      <w:pPr>
        <w:pStyle w:val="StructureList1"/>
        <w:spacing w:before="120" w:after="0"/>
        <w:rPr>
          <w:lang w:val="el" w:eastAsia="el"/>
        </w:rPr>
      </w:pPr>
      <w:r>
        <w:rPr>
          <w:lang w:val="el" w:eastAsia="el"/>
        </w:rPr>
        <w:t>δ)</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υπό στοιχεία Α.1137/2023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 5380),</w:t>
      </w:r>
    </w:p>
    <w:p>
      <w:pPr>
        <w:pStyle w:val="StructureList1"/>
        <w:spacing w:before="120" w:after="0"/>
        <w:rPr>
          <w:lang w:val="el" w:eastAsia="el"/>
        </w:rPr>
      </w:pPr>
      <w:r>
        <w:rPr>
          <w:lang w:val="el" w:eastAsia="el"/>
        </w:rPr>
        <w:t>β)</w:t>
      </w:r>
      <w:r>
        <w:rPr>
          <w:lang w:val="en" w:eastAsia="en"/>
        </w:rPr>
        <w:tab/>
      </w:r>
      <w:r>
        <w:rPr>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 4308/2014 (Α’ 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 4987/2022 (Κ.Φ.Δ.)». Υλοποίηση επί της αρχής “είσπραξη μέσω κάρτας - υποχρεωτική έκδοση παραστατικού από Ταμειακό Σύστημα”» (Β’ 5992 και διόρθωση σφάλματος Β’ 6514),</w:t>
      </w:r>
    </w:p>
    <w:p>
      <w:pPr>
        <w:pStyle w:val="StructureList1"/>
        <w:spacing w:before="120" w:after="0"/>
        <w:rPr>
          <w:lang w:val="el" w:eastAsia="el"/>
        </w:rPr>
      </w:pPr>
      <w:r>
        <w:rPr>
          <w:lang w:val="el" w:eastAsia="el"/>
        </w:rPr>
        <w:t>γ)</w:t>
      </w:r>
      <w:r>
        <w:rPr>
          <w:lang w:val="en" w:eastAsia="en"/>
        </w:rPr>
        <w:tab/>
      </w:r>
      <w:r>
        <w:rPr>
          <w:lang w:val="el" w:eastAsia="el"/>
        </w:rPr>
        <w:t>της υπό στοιχεία Α.1021/2023 απόφασης του Διοικητή της Ανεξάρτητης Αρχής Δημοσίων Εσόδων «Αναβάθμιση λειτουργούντων Φορολογικών Ταμειακών Μηχανών και ΑΔΗΜΕ με εξαίρεση των ΑΔΗΜΕ ταξιμέτρων» (Β’ 1826) και</w:t>
      </w:r>
    </w:p>
    <w:p>
      <w:pPr>
        <w:pStyle w:val="StructureList1"/>
        <w:spacing w:before="120" w:after="0"/>
        <w:rPr>
          <w:lang w:val="el" w:eastAsia="el"/>
        </w:rPr>
      </w:pPr>
      <w:r>
        <w:rPr>
          <w:lang w:val="el" w:eastAsia="el"/>
        </w:rPr>
        <w:t>δ)</w:t>
      </w:r>
      <w:r>
        <w:rPr>
          <w:lang w:val="en" w:eastAsia="en"/>
        </w:rPr>
        <w:tab/>
      </w:r>
      <w:r>
        <w:rPr>
          <w:lang w:val="el" w:eastAsia="el"/>
        </w:rPr>
        <w:t>της υπό στοιχεία Α.1157/2023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 4308/2014 (Α’ 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 4987/2022 (ΚΦΔ). Τροποποίηση της υπό στοιχεία Α.1021/2023 (Β’ 1826) απόφασης του Διοικητή της ΑΑΔΕ» (Β’ 5994).</w:t>
      </w:r>
    </w:p>
    <w:p>
      <w:pPr>
        <w:spacing w:before="240" w:after="240"/>
        <w:rPr>
          <w:lang w:val="el" w:eastAsia="el"/>
        </w:rPr>
      </w:pPr>
      <w:r>
        <w:rPr>
          <w:lang w:val="el" w:eastAsia="el"/>
        </w:rPr>
        <w:t>3.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την υπ’ αρ. 39/3/30.11.2017 (Υ.Ο.Δ.Δ. 689) απόφαση του Συμβουλίου Διοίκησης της Α.Α.Δ.Ε. και την υπό στοιχεία 5294ΕΞ2020/17.01.2020 (Υ.Ο.Δ.Δ. 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4. Την ανάγκη παροχής πρόσθετου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με σκοπό την ορθή εκπλήρωση των υποχρεώσεων των οντοτήτων του άρθρου 1 του ν. 4308/2014 που απορρέουν από τα οριζόμενα στο άρθρο 15Β του ΚΦΔ.</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Τροποποιούμε την υπό στοιχεία Α.1157/2023 απόφαση του Διοικητή της Α.Α.Δ.Ε. «Καθορισμός του χρόνου και της διαδικασίας αναβάθμισης των Μέσων Πληρωμών, που χρησιμοποιούν οι οντότητες του άρθρου 1 του ν. 4308/2014 (Α’ 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 4987/2022 (ΚΦΔ). Τροποποίηση της υπό στοιχεία Α.1021/2023 (Β’ 1826) απόφασης του Διοικητή της ΑΑΔΕ» (Β’ 5994), ως ακολούθως:</w:t>
      </w:r>
    </w:p>
    <w:p>
      <w:pPr>
        <w:spacing w:before="240" w:after="240"/>
        <w:rPr>
          <w:lang w:val="el" w:eastAsia="el"/>
        </w:rPr>
      </w:pPr>
      <w:r>
        <w:rPr>
          <w:lang w:val="el" w:eastAsia="el"/>
        </w:rPr>
        <w:t>Η περ. β της παρ. 2.5 του άρθρου 1 αντικαθίσταται και διαμορφώνεται ως εξής:</w:t>
      </w:r>
    </w:p>
    <w:p>
      <w:pPr>
        <w:spacing w:before="240" w:after="240"/>
        <w:rPr>
          <w:lang w:val="el" w:eastAsia="el"/>
        </w:rPr>
      </w:pPr>
      <w:r>
        <w:rPr>
          <w:lang w:val="el" w:eastAsia="el"/>
        </w:rPr>
        <w:t>«β) Έως 30/4/2024, εφόσον οι υπόχρεες οντότητες προτίθενται να αντικαταστήσουν το Ταμειακό τους Σύστημα με σύστημα στο οποίο το Ταμειακό Σύστημα και το Μέσο Πληρωμών ενσωματώνονται σε μία συσκευή (Αll in one - Cash Register/POS) και δηλώσουν την πρόθεσή τους στο Μητρώο Μέσων Πληρωμών στην ψηφιακή πύλη «myAADE» το αργότερο έως 29/3/2024.».</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Μαρτίου 2024</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