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Β2β/Γ.Π./17104</w:t>
      </w:r>
    </w:p>
    <w:p>
      <w:pPr>
        <w:spacing w:before="240" w:after="240"/>
        <w:rPr>
          <w:lang w:val="el" w:eastAsia="el"/>
        </w:rPr>
      </w:pPr>
      <w:r>
        <w:rPr>
          <w:b/>
          <w:bCs/>
          <w:lang w:val="el" w:eastAsia="el"/>
        </w:rPr>
        <w:t>Τροποποίηση της υπό στοιχεία Β2β/Γ.Π./οικ.1229/ 9.1.2024 απόφασης του Υπουργού Υγείας «Ρύθμιση σε δόσεις των οφειλόμενων ποσών αυτόματης επιστροφής (claw back) φαρμακευτικών εταιρειών/ΚΑΚ προς τον ΕΟΠΥΥ για το έτος 2022» (Β’ 162).</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β. του άρθρου 34 του ν. 3918/2011 «Διαρθρωτικές αλλαγές στο σύστημα υγείας και άλλες διατάξεις» (Α’ 31), γ. του άρθρου 11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όπως τροποποιήθηκε με το άρθρο 16 του ν. 4931/2022 (Α’ 94),</w:t>
      </w:r>
    </w:p>
    <w:p>
      <w:pPr>
        <w:spacing w:before="240" w:after="240"/>
        <w:rPr>
          <w:lang w:val="el" w:eastAsia="el"/>
        </w:rPr>
      </w:pPr>
      <w:r>
        <w:rPr>
          <w:lang w:val="el" w:eastAsia="el"/>
        </w:rPr>
        <w:t>δ. του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ε. τoυ άρθρου 11 του ν. 4321/2015 «Ρυθμίσεις για την επανεκκίνηση της οικονομίας» (Α’ 32),</w:t>
      </w:r>
    </w:p>
    <w:p>
      <w:pPr>
        <w:spacing w:before="240" w:after="240"/>
        <w:rPr>
          <w:lang w:val="el" w:eastAsia="el"/>
        </w:rPr>
      </w:pPr>
      <w:r>
        <w:rPr>
          <w:lang w:val="el" w:eastAsia="el"/>
        </w:rPr>
        <w:t>στ. του άρθρου δωδέκατου του ν. 4737/2020 «Κύρωση της από 24.9.2020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(ALEXANDER S. ONASSIS PUBLIC BENEFIT FOUNDATION)», που εδρεύει στο VADUZ του LIECHTENSTEIN, και του Ωνάσειου Καρδιοχειρουργικού Κέντρου (Ν.Π.Ι.Δ.), επείγουσες ρυθμίσεις για την αντιμετώπιση του κινδύνου διασποράς του κορωνοϊού και άλλες διατάξεις» (Α’ 204), όπως τροποποιήθηκε με το άρθρο 63 του 5007/2022 (Α’ 241),</w:t>
      </w:r>
    </w:p>
    <w:p>
      <w:pPr>
        <w:spacing w:before="240" w:after="240"/>
        <w:rPr>
          <w:lang w:val="el" w:eastAsia="el"/>
        </w:rPr>
      </w:pPr>
      <w:r>
        <w:rPr>
          <w:lang w:val="el" w:eastAsia="el"/>
        </w:rPr>
        <w:t>ζ.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η. του Κεφαλαίου ΙΑ’ του ν. 4724/2020 «Ψηφιακή Διακυβέρνησης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θ. του π.δ. 121/2017 «Οργανισμός του Υπουργείου Υγείας» (Α’ 128),</w:t>
      </w:r>
    </w:p>
    <w:p>
      <w:pPr>
        <w:spacing w:before="240" w:after="240"/>
        <w:rPr>
          <w:lang w:val="el" w:eastAsia="el"/>
        </w:rPr>
      </w:pPr>
      <w:r>
        <w:rPr>
          <w:lang w:val="el" w:eastAsia="el"/>
        </w:rPr>
        <w:t>ι. του π.δ. 2/2024 «Διορισμός Υπουργών και Υφυπουργών» (Α’ 2) και</w:t>
      </w:r>
    </w:p>
    <w:p>
      <w:pPr>
        <w:spacing w:before="240" w:after="240"/>
        <w:rPr>
          <w:lang w:val="el" w:eastAsia="el"/>
        </w:rPr>
      </w:pPr>
      <w:r>
        <w:rPr>
          <w:lang w:val="el" w:eastAsia="el"/>
        </w:rPr>
        <w:t>ια.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2. Την υπό στοιχεία Β2β/Γ.Π./οικ.1229/9-1-2024 απόφαση του Υπουργού Υγείας «Ρύθμιση σε δόσεις των οφειλόμενων ποσών αυτόματης επιστροφής (claw back) φαρμακευτικών εταιρειών/ΚΑΚ προς τον ΕΟΠΥΥ για το έτος 2022» (Β’ 162).</w:t>
      </w:r>
    </w:p>
    <w:p>
      <w:pPr>
        <w:spacing w:before="240" w:after="240"/>
        <w:rPr>
          <w:lang w:val="el" w:eastAsia="el"/>
        </w:rPr>
      </w:pPr>
      <w:r>
        <w:rPr>
          <w:lang w:val="el" w:eastAsia="el"/>
        </w:rPr>
        <w:t>3. Το υπό στοιχεία ΔΒ4Ζ/Γ24/6/οικ.7816/21-03-2024 έγγραφο της Διεύθυνσης Φαρμάκου του Ε.Ο.Π.Υ.Υ. με συνημμένη την υπ’ αρ. 64/2024 απόφαση του Διοικητικού Συμβουλίου του Ε.Ο.Π.Υ.Υ. (Συν. Δ.Σ. ΕΟΠΥΥ 943/ 19-03-2024).</w:t>
      </w:r>
    </w:p>
    <w:p>
      <w:pPr>
        <w:spacing w:before="240" w:after="240"/>
        <w:rPr>
          <w:lang w:val="el" w:eastAsia="el"/>
        </w:rPr>
      </w:pPr>
      <w:r>
        <w:rPr>
          <w:lang w:val="el" w:eastAsia="el"/>
        </w:rPr>
        <w:t>4. Την υπό στοιχεία Β2β,Β1α/Γ.Π.οικ.17671/27.03.2024 εισήγηση του Προϊσταμένου της ΓΔΟΥ, της περ. (ε) της παρ. 5 του άρθρου 24 του ν. 4270/2014.</w:t>
      </w:r>
    </w:p>
    <w:p>
      <w:pPr>
        <w:spacing w:before="240" w:after="240"/>
        <w:rPr>
          <w:lang w:val="el" w:eastAsia="el"/>
        </w:rPr>
      </w:pPr>
      <w:r>
        <w:rPr>
          <w:lang w:val="el" w:eastAsia="el"/>
        </w:rPr>
        <w:t>5. Το γεγονός ότι από την παρούσα απόφαση δεν προκαλείται δαπάνη σε βάρος του κρατικού προϋπολογισμού και του προϋπολογισμού του Ε.Ο.Π.Υ.Υ., αποφασίζουμε:</w:t>
      </w:r>
    </w:p>
    <w:p>
      <w:pPr>
        <w:spacing w:before="240" w:after="240"/>
        <w:rPr>
          <w:lang w:val="el" w:eastAsia="el"/>
        </w:rPr>
      </w:pPr>
      <w:r>
        <w:rPr>
          <w:lang w:val="el" w:eastAsia="el"/>
        </w:rPr>
        <w:t>Στο τέλος του άρθρου 1 της υπό στοιχεία Β2β/Γ.Π./ οικ.1229/9-1-2024 (Β’ 162) απόφασης του Υπουργού Υγείας, προστίθενται εδάφια, ως εξής:</w:t>
      </w:r>
    </w:p>
    <w:p>
      <w:pPr>
        <w:spacing w:before="240" w:after="240"/>
        <w:rPr>
          <w:lang w:val="el" w:eastAsia="el"/>
        </w:rPr>
      </w:pPr>
      <w:r>
        <w:rPr>
          <w:lang w:val="el" w:eastAsia="el"/>
        </w:rPr>
        <w:t>«Η ανωτέρω προθεσμία μπορεί να επεκταθεί έως και 15-3-2024, μετά από αιτιολογημένη αίτηση από τη φαρμακευτική εταιρεία ή εφόσον οι προϋποθέσεις ένταξης στις ρυθμίσεις της παρούσας πληρώθηκαν το διάστημα 16-2-2024 έως και 15-3-2024. Στις περιπτώσεις που οι προϋποθέσεις ένταξης στη ρύθμιση πληρούνται εντός έως και έξι μηνών από την ανωτέρω καταληκτική ημερομηνία αιτήσεως, παρέχεται η δυνατότητα ένταξης στις ρυθμίσεις της παρούσας, με την προϋπόθεση ότι η πρώτη δόση της ρύθμισης περιλαμβάνει το σύνολο των οφειλόμενων δόσεων, από 22/3/2024 έως την τελευταία ημέρα του μήνα έναρξης της δοσοποίησης.».</w:t>
      </w:r>
    </w:p>
    <w:p>
      <w:pPr>
        <w:spacing w:before="240" w:after="240"/>
        <w:rPr>
          <w:lang w:val="el" w:eastAsia="el"/>
        </w:rPr>
      </w:pPr>
      <w:r>
        <w:rPr>
          <w:lang w:val="el" w:eastAsia="el"/>
        </w:rPr>
        <w:t>Κατά τα λοιπά, ισχύει η υπό στοιχεία Β2β/Γ.Π./οικ.1229/ 9-1-2024 (Β’ 162) απόφαση του Υπουργού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