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50563 ΕΞ 2024</w:t>
      </w:r>
      <w:r>
        <w:rPr>
          <w:b/>
          <w:bCs/>
          <w:lang w:val="el" w:eastAsia="el"/>
        </w:rPr>
        <w:t>Σύσταση των Α’ και Β’ Υπηρεσιακών Συμβουλίων του Υπουργείου Εθνικής Οικονομίας και Οικονομικών, σύμφωνα με τις διατάξεις του άρθρου 159 του ν. 3528/2007 (Α’ 26).</w:t>
      </w:r>
    </w:p>
    <w:p>
      <w:pPr>
        <w:pStyle w:val="Title"/>
        <w:spacing w:before="120" w:after="360"/>
        <w:rPr>
          <w:lang w:val="el" w:eastAsia="el"/>
        </w:rPr>
      </w:pPr>
      <w:r>
        <w:rPr>
          <w:b/>
          <w:bCs/>
          <w:lang w:val="el" w:eastAsia="el"/>
        </w:rPr>
        <w:t>Ο ΥΠΟΥΡΓΟΣ</w:t>
      </w:r>
    </w:p>
    <w:p>
      <w:pPr>
        <w:pStyle w:val="Title"/>
        <w:spacing w:before="120" w:after="36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159, 161 και 162, σε συνδυασμό με την παρ. 4 του άρθρου 86 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Α’45),</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των άρθρων 76 και 76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 - Τροποποίηση και συμπλήρωση του π.δ. 77/2023 (Α’ 130)-Μεταβατικές διατάξεις» (Α’ 139).</w:t>
      </w:r>
    </w:p>
    <w:p>
      <w:pPr>
        <w:pStyle w:val="PreambelText"/>
        <w:spacing w:before="240" w:after="240"/>
        <w:rPr>
          <w:lang w:val="el" w:eastAsia="el"/>
        </w:rPr>
      </w:pPr>
      <w:r>
        <w:rPr>
          <w:lang w:val="el" w:eastAsia="el"/>
        </w:rPr>
        <w:t>2. Την υπό στοιχεία 27871 ΕΞ 2020/06.03.2020 απόφαση διορισμού της Πηνελόπης Παγώνη του Σωτηρίου, σε θέση Υπηρεσιακής Γραμματέως του Υπουργείου Οικονομικών (ΥΟΔΔ 185).</w:t>
      </w:r>
    </w:p>
    <w:p>
      <w:pPr>
        <w:pStyle w:val="PreambelText"/>
        <w:spacing w:before="240" w:after="240"/>
        <w:rPr>
          <w:lang w:val="el" w:eastAsia="el"/>
        </w:rPr>
      </w:pPr>
      <w:r>
        <w:rPr>
          <w:lang w:val="el" w:eastAsia="el"/>
        </w:rPr>
        <w:t>3.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 ΑΔΑ: 6ΥΤΘΗ-Β7Ο).</w:t>
      </w:r>
    </w:p>
    <w:p>
      <w:pPr>
        <w:pStyle w:val="PreambelText"/>
        <w:spacing w:before="240" w:after="240"/>
        <w:rPr>
          <w:lang w:val="el" w:eastAsia="el"/>
        </w:rPr>
      </w:pPr>
      <w:r>
        <w:rPr>
          <w:lang w:val="el" w:eastAsia="el"/>
        </w:rPr>
        <w:t>4. Την υπό στοιχεία 49961 ΕΞ 2024/05.04.2024 εισήγηση της Προϊσταμένης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5. Την υπό στοιχεία ΔΙΔΑΔ/Φ.35.53/2517/οικ.10914/ 08.03.2019 εγκύκλιο του Υπουργείου Διοικητικής Ανασυγκρότησης «Σύσταση - συγκρότηση υπηρεσιακών συμβουλίων κατ’ εφαρμογή των διατάξεων του άρθρου 159 του Υπαλληλικού Κώδικα (ν. 3528/2007)» (ΑΔΑ: 6ΤΑ1465ΧΘΨ-ΛΥΗ).</w:t>
      </w:r>
    </w:p>
    <w:p>
      <w:pPr>
        <w:pStyle w:val="PreambelText"/>
        <w:spacing w:before="240" w:after="240"/>
        <w:rPr>
          <w:lang w:val="el" w:eastAsia="el"/>
        </w:rPr>
      </w:pPr>
      <w:r>
        <w:rPr>
          <w:lang w:val="el" w:eastAsia="el"/>
        </w:rPr>
        <w:t>6. Την υπ’ αρ. 2/98380/0004/24.12.2014 απόφαση του Υπουργού Οικονομικών «Σύσταση και συγκρότηση των Δ’ και Ε’ Υπηρεσιακών Συμβουλίων του Υπουργείου Οικονομικών» (Β’ 3546) (ΑΔΑ: 6ΘΙΧΗ-ΣΦ7).</w:t>
      </w:r>
    </w:p>
    <w:p>
      <w:pPr>
        <w:pStyle w:val="PreambelText"/>
        <w:spacing w:before="240" w:after="240"/>
        <w:rPr>
          <w:lang w:val="el" w:eastAsia="el"/>
        </w:rPr>
      </w:pPr>
      <w:r>
        <w:rPr>
          <w:lang w:val="el" w:eastAsia="el"/>
        </w:rPr>
        <w:t>7. Το γεγονός ότι:</w:t>
      </w:r>
    </w:p>
    <w:p>
      <w:pPr>
        <w:pStyle w:val="StructureList1"/>
        <w:spacing w:before="120" w:after="0"/>
        <w:rPr>
          <w:lang w:val="el" w:eastAsia="el"/>
        </w:rPr>
      </w:pPr>
      <w:r>
        <w:rPr>
          <w:lang w:val="el" w:eastAsia="el"/>
        </w:rPr>
        <w:t>α)</w:t>
      </w:r>
      <w:r>
        <w:rPr>
          <w:lang w:val="en" w:eastAsia="en"/>
        </w:rPr>
        <w:tab/>
      </w:r>
      <w:r>
        <w:rPr>
          <w:lang w:val="el" w:eastAsia="el"/>
        </w:rPr>
        <w:t>Τα συσταθέντα με την υπό στοιχείο 6) απόφαση του Υπουργού Οικονομικών Δ’ και Ε’ Υπηρεσιακά Συμβούλια λειτουργούν δυνάμει μεταβατικών διατάξεων,</w:t>
      </w:r>
    </w:p>
    <w:p>
      <w:pPr>
        <w:pStyle w:val="StructureList1"/>
        <w:spacing w:before="120" w:after="0"/>
        <w:rPr>
          <w:lang w:val="el" w:eastAsia="el"/>
        </w:rPr>
      </w:pPr>
      <w:r>
        <w:rPr>
          <w:lang w:val="el" w:eastAsia="el"/>
        </w:rPr>
        <w:t>β)</w:t>
      </w:r>
      <w:r>
        <w:rPr>
          <w:lang w:val="en" w:eastAsia="en"/>
        </w:rPr>
        <w:tab/>
      </w:r>
      <w:r>
        <w:rPr>
          <w:lang w:val="el" w:eastAsia="el"/>
        </w:rPr>
        <w:t>από τις διατάξεις της απόφασης αυτής δεν προκαλείται επιβάρυνση στον προϋπολογισμό του Υπουργείου Εθνικής Οικονομίας και Οικονομικών για το τρέχον οικονομικό έτος και για τα έτη του εγκεκριμένου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Σύσταση Υπηρεσιακών Συμβουλίων στο</w:t>
      </w:r>
    </w:p>
    <w:p>
      <w:pPr>
        <w:spacing w:before="240" w:after="240"/>
        <w:rPr>
          <w:lang w:val="el" w:eastAsia="el"/>
        </w:rPr>
      </w:pPr>
      <w:r>
        <w:rPr>
          <w:lang w:val="el" w:eastAsia="el"/>
        </w:rPr>
        <w:t>Υπουργείο Εθνικής Οικονομίας και Οικονομικών</w:t>
      </w:r>
    </w:p>
    <w:p>
      <w:pPr>
        <w:spacing w:before="240" w:after="240"/>
        <w:rPr>
          <w:lang w:val="el" w:eastAsia="el"/>
        </w:rPr>
      </w:pPr>
      <w:r>
        <w:rPr>
          <w:lang w:val="el" w:eastAsia="el"/>
        </w:rPr>
        <w:t>Συνιστούμε στο Υπουργείο Εθνικής Οικονομίας και Οικονομικών Α’ και Β’ Υπηρεσιακά Συμβούλια, σύμφωνα με τις διατάξεις του άρθρου 159 του ν. 3528/2007 (Α’ 26). Η αρμοδιότητά τους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 Υπηρεσιακό Συμβούλιο, αρμόδιο για την εν γένει υπηρεσιακή κατάσταση, με εξαίρεση την πειθαρχική ευθύνη του προσωπικού δημοσίου δικαίου και του προσωπικού ιδιωτικού δικαίου αορίστου χρόνου, των κλάδων Δημοσιονομικών, Πληροφορικής, Προσωπικού Η/Υ, Οικονομικών Επιθεωρητών, Γεωτεχνικών, καθώς και για το προσωπικό των εποπτευόμενων νομικών προσώπων του Υπουργείου Εθνικής Οικονομίας και Οικονομικών, τα οποία δε διαθέτουν ίδιο Υπηρεσιακό Συμβούλιο.</w:t>
      </w:r>
    </w:p>
    <w:p>
      <w:pPr>
        <w:pStyle w:val="StructureList1"/>
        <w:spacing w:before="120" w:after="0"/>
        <w:rPr>
          <w:lang w:val="el" w:eastAsia="el"/>
        </w:rPr>
      </w:pPr>
      <w:r>
        <w:rPr>
          <w:lang w:val="el" w:eastAsia="el"/>
        </w:rPr>
        <w:t>β)</w:t>
      </w:r>
      <w:r>
        <w:rPr>
          <w:lang w:val="en" w:eastAsia="en"/>
        </w:rPr>
        <w:tab/>
      </w:r>
      <w:r>
        <w:rPr>
          <w:lang w:val="el" w:eastAsia="el"/>
        </w:rPr>
        <w:t>Β’ Υπηρεσιακό Συμβούλιο, αρμόδιο για την εν γένει υπηρεσιακή κατάσταση, με εξαίρεση την πειθαρχική ευθύνη του προσωπικού δημοσίου δικαίου και του προσωπικού Ιδιωτικού Δικαίου Αορίστου Χρόνου των λοιπών κλάδων του Υπουργείου Εθνικής Οικονομίας και Οικονομικών.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Μέλη- Σύνθεση- Λειτουργία</w:t>
      </w:r>
    </w:p>
    <w:p>
      <w:pPr>
        <w:pStyle w:val="MainText"/>
        <w:spacing w:before="120" w:after="0"/>
        <w:rPr>
          <w:lang w:val="el" w:eastAsia="el"/>
        </w:rPr>
      </w:pPr>
      <w:r>
        <w:rPr>
          <w:b/>
          <w:bCs/>
          <w:lang w:val="el" w:eastAsia="el"/>
        </w:rPr>
        <w:t>1.</w:t>
      </w:r>
      <w:r>
        <w:rPr>
          <w:lang w:val="el" w:eastAsia="el"/>
        </w:rPr>
        <w:t xml:space="preserve"> Τα ανωτέρω Υπηρεσιακά Συμβούλια είναι πενταμελή και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Τρεις (3) μόνιμους υπαλλήλους Προϊσταμένους Διεύθυνσης, από αυτούς που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αυτόν. Ένα από τα ανωτέρω μέλη ορίζεται ως Πρόεδρος και ένα αναπληρωτής του Προέδρου.</w:t>
      </w:r>
    </w:p>
    <w:p>
      <w:pPr>
        <w:pStyle w:val="StructureList1"/>
        <w:spacing w:before="120" w:after="0"/>
        <w:rPr>
          <w:lang w:val="el" w:eastAsia="el"/>
        </w:rPr>
      </w:pPr>
      <w:r>
        <w:rPr>
          <w:lang w:val="el" w:eastAsia="el"/>
        </w:rPr>
        <w:t>β)</w:t>
      </w:r>
      <w:r>
        <w:rPr>
          <w:lang w:val="en" w:eastAsia="en"/>
        </w:rPr>
        <w:tab/>
      </w:r>
      <w:r>
        <w:rPr>
          <w:lang w:val="el" w:eastAsia="el"/>
        </w:rPr>
        <w:t>Δύο (2) αιρετούς εκπροσώπους των υπαλλήλων με βαθμό τουλάχιστον Γ’ των κατηγοριών ΠΕ, ΤΕ και ΔΕ.</w:t>
      </w:r>
    </w:p>
    <w:p>
      <w:pPr>
        <w:pStyle w:val="MainText"/>
        <w:spacing w:before="120" w:after="0"/>
        <w:rPr>
          <w:lang w:val="el" w:eastAsia="el"/>
        </w:rPr>
      </w:pPr>
      <w:r>
        <w:rPr>
          <w:b/>
          <w:bCs/>
          <w:lang w:val="el" w:eastAsia="el"/>
        </w:rPr>
        <w:t>2.</w:t>
      </w:r>
      <w:r>
        <w:rPr>
          <w:lang w:val="el" w:eastAsia="el"/>
        </w:rPr>
        <w:t xml:space="preserve"> Ως εισηγητής ορίζεται ο Προϊστάμενος της Διεύθυνσης που είναι αρμόδια για θέματα Ανθρώπινου Δυναμικού του Υπουργείου με αναπληρωτή του αυτόν που νομίμως τον αναπληρώνει στα υπηρεσιακά του καθήκοντα.</w:t>
      </w:r>
    </w:p>
    <w:p>
      <w:pPr>
        <w:pStyle w:val="MainText"/>
        <w:spacing w:before="120" w:after="0"/>
        <w:rPr>
          <w:lang w:val="el" w:eastAsia="el"/>
        </w:rPr>
      </w:pPr>
      <w:r>
        <w:rPr>
          <w:b/>
          <w:bCs/>
          <w:lang w:val="el" w:eastAsia="el"/>
        </w:rPr>
        <w:t>3.</w:t>
      </w:r>
      <w:r>
        <w:rPr>
          <w:lang w:val="el" w:eastAsia="el"/>
        </w:rPr>
        <w:t xml:space="preserve"> Χρέη γραμματέα εκτελεί υπάλληλος με βαθμό τουλάχιστον Δ’, ο οποίος ορίζεται με τον αναπληρωτή του με την απόφαση ορισμού των μελών.</w:t>
      </w:r>
    </w:p>
    <w:p>
      <w:pPr>
        <w:pStyle w:val="MainText"/>
        <w:spacing w:before="120" w:after="0"/>
        <w:rPr>
          <w:lang w:val="el" w:eastAsia="el"/>
        </w:rPr>
      </w:pPr>
      <w:r>
        <w:rPr>
          <w:b/>
          <w:bCs/>
          <w:lang w:val="el" w:eastAsia="el"/>
        </w:rPr>
        <w:t>5.</w:t>
      </w:r>
      <w:r>
        <w:rPr>
          <w:lang w:val="el" w:eastAsia="el"/>
        </w:rPr>
        <w:t xml:space="preserve"> Όταν κρίνονται θέματα προσωπικού με σχέση εργασίας ιδιωτικού δικαίου, αντί των δύο εκπροσώπων των μονίμων υπαλλήλων μετέχουν οι δύο εκπρόσωποι του προσωπικού με σύμβαση εργασίας Ιδιωτικού Δικαίου Αορίστου Χρόνου.</w:t>
      </w:r>
    </w:p>
    <w:p>
      <w:pPr>
        <w:pStyle w:val="MainText"/>
        <w:spacing w:before="120" w:after="0"/>
        <w:rPr>
          <w:lang w:val="el" w:eastAsia="el"/>
        </w:rPr>
      </w:pPr>
      <w:r>
        <w:rPr>
          <w:b/>
          <w:bCs/>
          <w:lang w:val="el" w:eastAsia="el"/>
        </w:rPr>
        <w:t>6.</w:t>
      </w:r>
      <w:r>
        <w:rPr>
          <w:lang w:val="el" w:eastAsia="el"/>
        </w:rPr>
        <w:t xml:space="preserve"> Ο αριθμός των μελών που ορίζονται από κάθε φύλο ανέρχεται σε ποσοστό ίσο τουλάχιστον με το 1/3 του συνόλου των μελών τους, εφόσον στην οικεία υπηρεσία υπηρετεί επαρκής αριθμός υπαλλήλων που συγκεντρώνει τις νόμιμες προϋποθέσεις για ορισμό.</w:t>
      </w:r>
    </w:p>
    <w:p>
      <w:pPr>
        <w:pStyle w:val="MainText"/>
        <w:spacing w:before="120" w:after="0"/>
        <w:rPr>
          <w:lang w:val="el" w:eastAsia="el"/>
        </w:rPr>
      </w:pPr>
      <w:r>
        <w:rPr>
          <w:b/>
          <w:bCs/>
          <w:lang w:val="el" w:eastAsia="el"/>
        </w:rPr>
        <w:t>7.</w:t>
      </w:r>
      <w:r>
        <w:rPr>
          <w:lang w:val="el" w:eastAsia="el"/>
        </w:rPr>
        <w:t xml:space="preserve"> Η λειτουργία των Υπηρεσιακών Συμβουλίων διέπεται από τις διατάξεις του άρθρου 162 του Υπαλληλικού Κώδικα (ν. 3528/2007) και συμπληρωματικά των άρθρων 13-15 του ν. 2690/1999.</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Θητεία</w:t>
      </w:r>
    </w:p>
    <w:p>
      <w:pPr>
        <w:spacing w:before="240" w:after="240"/>
        <w:rPr>
          <w:lang w:val="el" w:eastAsia="el"/>
        </w:rPr>
      </w:pPr>
      <w:r>
        <w:rPr>
          <w:lang w:val="el" w:eastAsia="el"/>
        </w:rPr>
        <w:t>Η θητεία των μελών των Υπηρεσιακών Συμβουλίων είναι διετής, αρχίζει την 1η Ιανουαρίου κάθε περιττού έτους και λήγει την 31η Δεκεμβρίου του επόμενου άρτιου έτους.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της παρούσας, η θητεία των τακτικών, μη αιρετών μελών των Υπηρεσιακών Συμβουλίων αρχίζει από την ημερομηνία συγκρότησής τους και λήγει την 31η Δεκεμβρίου του πρώτου άρτιου έτους που ακολουθεί αμέσως μετά ή κατά τον χρόνο συγκρότησης τους, εφόσον είναι άρτιο έτος.</w:t>
      </w:r>
    </w:p>
    <w:p>
      <w:pPr>
        <w:pStyle w:val="MainText"/>
        <w:spacing w:before="120" w:after="0"/>
        <w:rPr>
          <w:lang w:val="el" w:eastAsia="el"/>
        </w:rPr>
      </w:pPr>
      <w:r>
        <w:rPr>
          <w:b/>
          <w:bCs/>
          <w:lang w:val="el" w:eastAsia="el"/>
        </w:rPr>
        <w:t>2.</w:t>
      </w:r>
      <w:r>
        <w:rPr>
          <w:lang w:val="el" w:eastAsia="el"/>
        </w:rPr>
        <w:t xml:space="preserve"> Οι αιρετοί εκπρόσωποι των υπαλλήλων, που αναδείχθηκαν στις εκλογές της 23ης Νοεμβρίου 2022 με θητεία από 01.01.2023 έως και 31.12.2024 και οι οποίοι ορίστηκαν ως αιρετά μέλη στα Δ’ και Ε’ Υπηρεσιακά Συμβούλια, θα μετέχουν ως μέλη στα συστηνόμενα με την παρούσα, Α’ και Β’ Υπηρεσιακά Συμβούλια, αντίστοιχα.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υπ’ αρ. 2/98380/0004/24.12.2014 απόφαση του Υπουργού Οικονομικών «Σύσταση και συγκρότηση των Δ’ και Ε’ Υπηρεσιακών Συμβουλίων του Υπουργείου Οικονομικών» (Β’ 3546, ΑΔΑ: 6ΘΙΧΗ-ΣΦ7), παύει να ισχύει.</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