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ΦΕΚ: Β’ 2372/1</w:t>
      </w:r>
    </w:p>
    <w:p>
      <w:pPr>
        <w:pStyle w:val="Title"/>
        <w:spacing w:before="120" w:after="360"/>
        <w:rPr>
          <w:lang w:val="el" w:eastAsia="el"/>
        </w:rPr>
      </w:pPr>
      <w:r>
        <w:rPr>
          <w:b/>
          <w:bCs/>
          <w:lang w:val="el" w:eastAsia="el"/>
        </w:rPr>
        <w:t>ΑΔΑ: 6ΦΣΒ46Μ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ΦΟΡΟΛΟΓΙΑΣ ΔΙΕΥΘΥΝΣΗ ΕΦΑΡΜΟΓΗΣ ΑΜΕΣΗΣ ΦΟΡΟΛΟΓΙΑΣ</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Χανδρή 1 &amp;</w:t>
      </w:r>
    </w:p>
    <w:p>
      <w:pPr>
        <w:spacing w:before="240" w:after="240"/>
        <w:rPr>
          <w:lang w:val="el" w:eastAsia="el"/>
        </w:rPr>
      </w:pPr>
      <w:r>
        <w:rPr>
          <w:b/>
          <w:bCs/>
          <w:lang w:val="el" w:eastAsia="el"/>
        </w:rPr>
        <w:t>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4802550, 210</w:t>
      </w:r>
    </w:p>
    <w:p>
      <w:pPr>
        <w:spacing w:before="240" w:after="240"/>
        <w:rPr>
          <w:lang w:val="el" w:eastAsia="el"/>
        </w:rPr>
      </w:pPr>
      <w:r>
        <w:rPr>
          <w:b/>
          <w:bCs/>
          <w:lang w:val="el" w:eastAsia="el"/>
        </w:rPr>
        <w:t>4802154, 210 4802621</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72</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 4172/2013 (Α' 167), β) των άρθρων 5, 6, 10, 11, 15, 15Α, 18, 19, 31, 32, 33, 34, 35, 36, 37 και 41 του ν. 4987/2022 (Α' 206),</w:t>
      </w:r>
    </w:p>
    <w:p>
      <w:pPr>
        <w:pStyle w:val="StructureList1"/>
        <w:spacing w:before="120" w:after="0"/>
        <w:rPr>
          <w:lang w:val="el" w:eastAsia="el"/>
        </w:rPr>
      </w:pPr>
      <w:r>
        <w:rPr>
          <w:lang w:val="el" w:eastAsia="el"/>
        </w:rPr>
        <w:t>γ)</w:t>
      </w:r>
      <w:r>
        <w:rPr>
          <w:lang w:val="en" w:eastAsia="en"/>
        </w:rPr>
        <w:tab/>
      </w:r>
      <w:r>
        <w:rPr>
          <w:b/>
          <w:bCs/>
          <w:lang w:val="el" w:eastAsia="el"/>
        </w:rPr>
        <w:t>της παρ. 5 του άρθρου 18 του ν. 2753/1999 (Α' 249),</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των άρθρων 5Γ,</w:t>
      </w:r>
    </w:p>
    <w:p>
      <w:pPr>
        <w:spacing w:before="240" w:after="240"/>
        <w:rPr>
          <w:lang w:val="el" w:eastAsia="el"/>
        </w:rPr>
      </w:pPr>
      <w:r>
        <w:rPr>
          <w:b/>
          <w:bCs/>
          <w:lang w:val="el" w:eastAsia="el"/>
        </w:rPr>
        <w:t>8, 21, 22, 22Α, 22Β, 22Γ, 23, 29, 47, 58, 59, 60, 64, 69, 70, 71Δ, 71Ε, 71ΣΤ, 71Ζ' και 72 του ν. 4172/2013 (Α'167),</w:t>
      </w:r>
    </w:p>
    <w:p>
      <w:pPr>
        <w:pStyle w:val="StructureList1"/>
        <w:spacing w:before="120" w:after="0"/>
        <w:rPr>
          <w:lang w:val="el" w:eastAsia="el"/>
        </w:rPr>
      </w:pPr>
      <w:r>
        <w:rPr>
          <w:lang w:val="el" w:eastAsia="el"/>
        </w:rPr>
        <w:t>στ)</w:t>
      </w:r>
      <w:r>
        <w:rPr>
          <w:lang w:val="en" w:eastAsia="en"/>
        </w:rPr>
        <w:tab/>
      </w:r>
      <w:r>
        <w:rPr>
          <w:b/>
          <w:bCs/>
          <w:lang w:val="el" w:eastAsia="el"/>
        </w:rPr>
        <w:t>της παρ. 3 του άρθρου 38 του ν.2873/2000 (Α' 285),</w:t>
      </w:r>
    </w:p>
    <w:p>
      <w:pPr>
        <w:pStyle w:val="StructureList1"/>
        <w:spacing w:before="120" w:after="0"/>
        <w:rPr>
          <w:lang w:val="el" w:eastAsia="el"/>
        </w:rPr>
      </w:pPr>
      <w:r>
        <w:rPr>
          <w:lang w:val="el" w:eastAsia="el"/>
        </w:rPr>
        <w:t>ζ)</w:t>
      </w:r>
      <w:r>
        <w:rPr>
          <w:lang w:val="en" w:eastAsia="en"/>
        </w:rPr>
        <w:tab/>
      </w:r>
      <w:r>
        <w:rPr>
          <w:b/>
          <w:bCs/>
          <w:lang w:val="el" w:eastAsia="el"/>
        </w:rPr>
        <w:t>των άρθρων 7 και 8 του ν. 1599/1986 (Α' 75),</w:t>
      </w:r>
    </w:p>
    <w:p>
      <w:pPr>
        <w:pStyle w:val="StructureList1"/>
        <w:spacing w:before="120" w:after="0"/>
        <w:rPr>
          <w:lang w:val="el" w:eastAsia="el"/>
        </w:rPr>
      </w:pPr>
      <w:r>
        <w:rPr>
          <w:lang w:val="el" w:eastAsia="el"/>
        </w:rPr>
        <w:t>η)</w:t>
      </w:r>
      <w:r>
        <w:rPr>
          <w:lang w:val="en" w:eastAsia="en"/>
        </w:rPr>
        <w:tab/>
      </w:r>
      <w:r>
        <w:rPr>
          <w:b/>
          <w:bCs/>
          <w:lang w:val="el" w:eastAsia="el"/>
        </w:rPr>
        <w:t>της παρ. 10 του άρθρου 4 και της παρ. 1 του άρθρου 18 του ν. 3522/2006 (Α' 276), θ) της υπό στοιχεία ΠΟΛ.1008/2011 Α.Υ.Ο. (Β' 136), που αφορά στον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Δ.ΟΡΓ.Α 1125859 ΕΞ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αριθ. Δ6Α 1015213 ΕΞ 2013/28-01-2013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τις αποφάσεις υπ΄αρ. 39/3/30-11-2017 (Υ.Ο.Δ.Δ. 689) του Συμβουλίου Διοίκησης της Α.Α.Δ.Ε. και την υπό στοιχεία 5294 ΕΞ 2020/17-01-2020 (Υ.Ο.Δ.Δ. 27) του Υπουργού Οικονομικών, με θέμα την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ορθής εκπλήρωσης των φορολογικών υποχρεώσεων από τους υπόχρεους, όπως ορίζονται στην παράγραφο 1 των άρθρων 67 και 68 του ν.4172/2013.</w:t>
      </w:r>
    </w:p>
    <w:p>
      <w:pPr>
        <w:spacing w:before="240" w:after="240"/>
        <w:rPr>
          <w:lang w:val="el" w:eastAsia="el"/>
        </w:rPr>
      </w:pPr>
      <w:r>
        <w:rPr>
          <w:lang w:val="el" w:eastAsia="el"/>
        </w:rPr>
        <w:t xml:space="preserve">5.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για το φορολογικό έτος 2023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στην αρμόδια για την παραλαβή της δήλωσης υπηρεσία κατά περίπτωση.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κατάσταση οικονομικών στοιχείων από επιχειρηματική δραστηριότητα φορολογικού έτους 2023 (έντυπο Ε3), η Ανεξάρτητη Αρχή Δημοσίων Εσόδων (ΑΑΔΕ) προσυμπληρώνει κατηγορίες εσόδων και εξόδων με ποσά στους σχετικούς κωδικούς των αντίστοιχων πινάκων βάσει των δεδομένων που διαβιβάζονται στην ψηφιακή πλατφόρμα myDΑΤΑ της ΑΑΔΕ και του χαρακτηρισμού αυτών, σύμφωνα με τις εκάστοτε ισχύουσες αποφάσεις.</w:t>
      </w:r>
    </w:p>
    <w:p>
      <w:pPr>
        <w:spacing w:before="240" w:after="240"/>
        <w:rPr>
          <w:lang w:val="el" w:eastAsia="el"/>
        </w:rPr>
      </w:pPr>
      <w:r>
        <w:rPr>
          <w:b/>
          <w:bCs/>
          <w:lang w:val="el" w:eastAsia="el"/>
        </w:rPr>
        <w:t>Εφόσον δεν έχει προηγηθεί χαρακτηρισμός των σχετικών εξόδων στην ψηφιακή πλατφόρμα myDΑΤΑ, όλα τα έξοδα προσυμπληρώνονται στον κωδικό 585 («Διάφορα Λειτουργικά Έξοδα») της στήλης «Σύνολο», στην επιλογή 016 του σχετικού Υποπίνακα.</w:t>
      </w:r>
    </w:p>
    <w:p>
      <w:pPr>
        <w:spacing w:before="240" w:after="240"/>
        <w:rPr>
          <w:lang w:val="el" w:eastAsia="el"/>
        </w:rPr>
      </w:pPr>
      <w:r>
        <w:rPr>
          <w:b/>
          <w:bCs/>
          <w:lang w:val="el" w:eastAsia="el"/>
        </w:rPr>
        <w:t>Η ορθή και ακριβής συμπλήρωση του Εντύπου Ε3 συνιστά υποχρέωση και ευθύνη του φορολογούμενου. Η προσυμπλήρωση των κωδικών του Εντύπου Ε3 έχει ως σκοπό τη διευκόλυνση του φορολογουμένου και δεν είναι δεσμευτική για αυτόν. Τα προσυμπληρωμένα ποσά στους κωδικούς του εντύπου Ε3 δύνανται να τροποποιούνται από τον φορολογούμενο.</w:t>
      </w:r>
    </w:p>
    <w:p>
      <w:pPr>
        <w:pStyle w:val="MainText"/>
        <w:spacing w:before="120" w:after="0"/>
        <w:rPr>
          <w:lang w:val="el" w:eastAsia="el"/>
        </w:rPr>
      </w:pPr>
      <w:r>
        <w:rPr>
          <w:b/>
          <w:bCs/>
          <w:lang w:val="el" w:eastAsia="el"/>
        </w:rPr>
        <w:t>4.</w:t>
      </w:r>
      <w:r>
        <w:rPr>
          <w:lang w:val="el" w:eastAsia="el"/>
        </w:rPr>
        <w:t xml:space="preserve"> </w:t>
      </w:r>
      <w:r>
        <w:rPr>
          <w:b/>
          <w:bCs/>
          <w:lang w:val="el" w:eastAsia="el"/>
        </w:rPr>
        <w:t>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συζύγους/μέρη συμφώνου συμβίωσης όπου αυτό απαιτείται για τα επιμέρους εισοδήματά 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7.</w:t>
      </w:r>
      <w:r>
        <w:rPr>
          <w:lang w:val="el" w:eastAsia="el"/>
        </w:rPr>
        <w:t xml:space="preserve"> </w:t>
      </w:r>
      <w:r>
        <w:rPr>
          <w:b/>
          <w:bCs/>
          <w:lang w:val="el" w:eastAsia="el"/>
        </w:rPr>
        <w:t>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8.</w:t>
      </w:r>
      <w:r>
        <w:rPr>
          <w:lang w:val="el" w:eastAsia="el"/>
        </w:rPr>
        <w:t xml:space="preserve"> </w:t>
      </w:r>
      <w:r>
        <w:rPr>
          <w:b/>
          <w:bCs/>
          <w:lang w:val="el" w:eastAsia="el"/>
        </w:rPr>
        <w:t>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9.</w:t>
      </w:r>
      <w:r>
        <w:rPr>
          <w:lang w:val="el" w:eastAsia="el"/>
        </w:rPr>
        <w:t xml:space="preserve"> </w:t>
      </w:r>
      <w:r>
        <w:rPr>
          <w:b/>
          <w:bCs/>
          <w:lang w:val="el" w:eastAsia="el"/>
        </w:rPr>
        <w:t>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της αρμόδιας για την παραλαβή της δήλωσης υπηρεσίας.</w:t>
      </w:r>
    </w:p>
    <w:p>
      <w:pPr>
        <w:pStyle w:val="MainText"/>
        <w:spacing w:before="120" w:after="0"/>
        <w:rPr>
          <w:lang w:val="el" w:eastAsia="el"/>
        </w:rPr>
      </w:pPr>
      <w:r>
        <w:rPr>
          <w:b/>
          <w:bCs/>
          <w:lang w:val="el" w:eastAsia="el"/>
        </w:rPr>
        <w:t>10.</w:t>
      </w:r>
      <w:r>
        <w:rPr>
          <w:lang w:val="el" w:eastAsia="el"/>
        </w:rPr>
        <w:t xml:space="preserve"> </w:t>
      </w:r>
      <w:r>
        <w:rPr>
          <w:b/>
          <w:bCs/>
          <w:lang w:val="el" w:eastAsia="el"/>
        </w:rPr>
        <w:t>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11.</w:t>
      </w:r>
      <w:r>
        <w:rPr>
          <w:lang w:val="el" w:eastAsia="el"/>
        </w:rPr>
        <w:t xml:space="preserve"> </w:t>
      </w:r>
      <w:r>
        <w:rPr>
          <w:b/>
          <w:bCs/>
          <w:lang w:val="el" w:eastAsia="el"/>
        </w:rPr>
        <w:t>Οι ατομικές πλοιοκτήτριες επιχειρήσεις που έχουν υποχρέωση υποβολής δήλωσης φορολογίας εισοδήματος (έντυπο Ε1) και φορολογούνται με τις διατάξεις του ν. 27/1975 και του άρθρου 57 του ν. 4646/2019 υποβάλλουν το έντυπο Ε3 καταχωρώντας τα έσοδα και τις κατά περίπτωση δαπάνες τους με ανάλογο μηδενισμό του αποτελέσματος από τη δραστηριότητα αυτή μέσω φορολογικής αναμόρφωσης, καθόσον φορολογούνται με τις παραπάνω διατάξεις.</w:t>
      </w:r>
    </w:p>
    <w:p>
      <w:pPr>
        <w:pStyle w:val="MainText"/>
        <w:spacing w:before="120" w:after="0"/>
        <w:rPr>
          <w:lang w:val="el" w:eastAsia="el"/>
        </w:rPr>
      </w:pPr>
      <w:r>
        <w:rPr>
          <w:b/>
          <w:bCs/>
          <w:lang w:val="el" w:eastAsia="el"/>
        </w:rPr>
        <w:t>12.</w:t>
      </w:r>
      <w:r>
        <w:rPr>
          <w:lang w:val="el" w:eastAsia="el"/>
        </w:rPr>
        <w:t xml:space="preserve"> </w:t>
      </w:r>
      <w:r>
        <w:rPr>
          <w:b/>
          <w:bCs/>
          <w:lang w:val="el" w:eastAsia="el"/>
        </w:rPr>
        <w:t>Για τα νομικά πρόσωπα μη κερδοσκοπικού χαρακτήρα, το έντυπο Ε3 υποβάλλεται όταν αποκτούν εισόδημα από επιχειρηματικές συναλλαγές, ενώ στην περίπτωση που έχουν εισόδημα μόνο από κεφάλαιο και υπεραξία μεταβίβασης κεφαλαίου, καθώς και όταν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13.</w:t>
      </w:r>
      <w:r>
        <w:rPr>
          <w:lang w:val="el" w:eastAsia="el"/>
        </w:rPr>
        <w:t xml:space="preserve"> </w:t>
      </w:r>
      <w:r>
        <w:rPr>
          <w:b/>
          <w:bCs/>
          <w:lang w:val="el" w:eastAsia="el"/>
        </w:rPr>
        <w:t>Ναυτιλιακές επιχειρήσεις οποιασδήποτε νομικής μορφής που έχουν υποχρέωση υποβολής δήλωσης φορολογίας εισοδήματος (έντυπο Ν) και που φορολογούνται με τις διατάξεις του ν. 27/1975 και του άρθρου 57 του ν.4646/2019, υποβάλλουν το έντυπο Ε3, καταχωρώντας τα έσοδα και τις κατά περίπτωση δαπάνες τους. Για τα γραφεία αλλοδαπών ναυτιλιακών επιχειρήσεων που εγκαθίστανται στην Ελλάδα βάσει των διατάξεων του άρθρου 25 του ν. 27/1975, καθώς και για τις ημεδαπές επιχειρήσεις που υπάγονται στις ίδιες διατάξεις, το έντυπο Ε3 υποβάλλεται μόνο όταν αποκτούν φορολογητέο εισόδημα με βάση τις διατάξεις του ν. 4172/2013.</w:t>
      </w:r>
    </w:p>
    <w:p>
      <w:pPr>
        <w:pStyle w:val="MainText"/>
        <w:spacing w:before="120" w:after="0"/>
        <w:rPr>
          <w:lang w:val="el" w:eastAsia="el"/>
        </w:rPr>
      </w:pPr>
      <w:r>
        <w:rPr>
          <w:b/>
          <w:bCs/>
          <w:lang w:val="el" w:eastAsia="el"/>
        </w:rPr>
        <w:t>14.</w:t>
      </w:r>
      <w:r>
        <w:rPr>
          <w:lang w:val="el" w:eastAsia="el"/>
        </w:rPr>
        <w:t xml:space="preserve"> </w:t>
      </w:r>
      <w:r>
        <w:rPr>
          <w:b/>
          <w:bCs/>
          <w:lang w:val="el" w:eastAsia="el"/>
        </w:rPr>
        <w:t>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Επιχειρησιακών Διαδικασιών</w:t>
      </w:r>
    </w:p>
    <w:p>
      <w:pPr>
        <w:spacing w:before="240" w:after="240"/>
        <w:rPr>
          <w:lang w:val="el" w:eastAsia="el"/>
        </w:rPr>
      </w:pPr>
      <w:r>
        <w:rPr>
          <w:lang w:val="el" w:eastAsia="el"/>
        </w:rPr>
        <w:t xml:space="preserve">5. </w:t>
      </w:r>
      <w:r>
        <w:rPr>
          <w:b/>
          <w:bCs/>
          <w:lang w:val="el" w:eastAsia="el"/>
        </w:rPr>
        <w:t>Διεύθυνση Ανάπτυξης Φορολογικών Εφαρμογών</w:t>
      </w:r>
    </w:p>
    <w:p>
      <w:pPr>
        <w:spacing w:before="240" w:after="240"/>
        <w:rPr>
          <w:lang w:val="el" w:eastAsia="el"/>
        </w:rPr>
      </w:pPr>
      <w:r>
        <w:rPr>
          <w:lang w:val="el" w:eastAsia="el"/>
        </w:rPr>
        <w:t xml:space="preserve">6.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κας.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8. </w:t>
      </w:r>
      <w:r>
        <w:rPr>
          <w:b/>
          <w:bCs/>
          <w:lang w:val="el" w:eastAsia="el"/>
        </w:rPr>
        <w:t>Υπουργείο Εσωτερικών, Γενική Γραμματεία Εσωτερικών &amp; Οργάνωσης, Δ/νση Οργάνωσης &amp; Λειτουργίας Τοπικής Αυτοδιοίκησης, Τμήμα Νομικών Προσώπων Τοπικής Αυτοδιοίκησης, Σταδίου 27, Τ.Κ. 101 83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