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PreambelText"/>
        <w:spacing w:before="240" w:after="240"/>
        <w:rPr>
          <w:lang w:val="el" w:eastAsia="el"/>
        </w:rPr>
      </w:pPr>
      <w:r>
        <w:rPr>
          <w:b/>
          <w:bCs/>
          <w:lang w:val="el" w:eastAsia="el"/>
        </w:rPr>
        <w:t>Α. ΓΕΝΙΚΗ ΔΙΕΥΘΥΝΣΗ ΦΟΡΟΛΟΓΙΑΣ</w:t>
      </w:r>
    </w:p>
    <w:p>
      <w:pPr>
        <w:pStyle w:val="PreambelText"/>
        <w:spacing w:before="240" w:after="240"/>
        <w:rPr>
          <w:lang w:val="el" w:eastAsia="el"/>
        </w:rPr>
      </w:pPr>
      <w:r>
        <w:rPr>
          <w:b/>
          <w:bCs/>
          <w:lang w:val="el" w:eastAsia="el"/>
        </w:rPr>
        <w:t>ΔΙΕΥΘΥΝΣΗ ΕΛΕΓΚΤΙΚΩΝ ΔΙΑΔΙΚΑΣΙΩΝ ΤΜΗΜΑ Α΄</w:t>
      </w:r>
    </w:p>
    <w:p>
      <w:pPr>
        <w:pStyle w:val="PreambelText"/>
        <w:spacing w:before="240" w:after="240"/>
        <w:rPr>
          <w:lang w:val="el" w:eastAsia="el"/>
        </w:rPr>
      </w:pPr>
      <w:r>
        <w:rPr>
          <w:b/>
          <w:bCs/>
          <w:lang w:val="el" w:eastAsia="el"/>
        </w:rPr>
        <w:t>Β. ΓΕΝΙΚΗ ΔΙΕΥΘΥΝΣΗ ΗΛΕΚΤΡΟΝΙΚΗΣ ΔΙΑΚΥΒΕΡΝΗΣΗΣ</w:t>
      </w:r>
    </w:p>
    <w:p>
      <w:pPr>
        <w:pStyle w:val="PreambelText"/>
        <w:spacing w:before="240" w:after="240"/>
        <w:rPr>
          <w:lang w:val="el" w:eastAsia="el"/>
        </w:rPr>
      </w:pPr>
      <w:r>
        <w:rPr>
          <w:b/>
          <w:bCs/>
          <w:lang w:val="el" w:eastAsia="el"/>
        </w:rPr>
        <w:t>ΔΙΕΥΘΥΝΣΗ ΔΙΑΧΕΙΡΙΣΗΣ ΥΠΟΔΟΜΩΝ ΤΜΗΜΑ Ε΄</w:t>
      </w:r>
    </w:p>
    <w:p>
      <w:pPr>
        <w:pStyle w:val="PreambelText"/>
        <w:spacing w:before="240" w:after="240"/>
        <w:rPr>
          <w:lang w:val="el" w:eastAsia="el"/>
        </w:rPr>
      </w:pPr>
      <w:r>
        <w:rPr>
          <w:b/>
          <w:bCs/>
          <w:lang w:val="el" w:eastAsia="el"/>
        </w:rPr>
        <w:t>Ταχ. Δ/νση : Χανδρή 1 &amp; Θεσσαλονίκης</w:t>
      </w:r>
    </w:p>
    <w:p>
      <w:pPr>
        <w:pStyle w:val="PreambelText"/>
        <w:spacing w:before="240" w:after="240"/>
        <w:rPr>
          <w:lang w:val="el" w:eastAsia="el"/>
        </w:rPr>
      </w:pPr>
      <w:r>
        <w:rPr>
          <w:b/>
          <w:bCs/>
          <w:lang w:val="el" w:eastAsia="el"/>
        </w:rPr>
        <w:t>Ταχ. : 18346 Μοσχάτο</w:t>
      </w:r>
    </w:p>
    <w:p>
      <w:pPr>
        <w:pStyle w:val="PreambelText"/>
        <w:spacing w:before="240" w:after="240"/>
        <w:rPr>
          <w:lang w:val="el" w:eastAsia="el"/>
        </w:rPr>
      </w:pPr>
      <w:r>
        <w:rPr>
          <w:b/>
          <w:bCs/>
          <w:lang w:val="el" w:eastAsia="el"/>
        </w:rPr>
        <w:t>Κώδικας</w:t>
      </w:r>
    </w:p>
    <w:p>
      <w:pPr>
        <w:pStyle w:val="PreambelText"/>
        <w:spacing w:before="240" w:after="240"/>
        <w:rPr>
          <w:lang w:val="el" w:eastAsia="el"/>
        </w:rPr>
      </w:pPr>
      <w:r>
        <w:rPr>
          <w:b/>
          <w:bCs/>
          <w:lang w:val="el" w:eastAsia="el"/>
        </w:rPr>
        <w:t>Τηλέφωνο : 210-4802550</w:t>
      </w:r>
    </w:p>
    <w:p>
      <w:pPr>
        <w:pStyle w:val="PreambelText"/>
        <w:spacing w:before="240" w:after="240"/>
        <w:rPr>
          <w:lang w:val="el" w:eastAsia="el"/>
        </w:rPr>
      </w:pPr>
      <w:r>
        <w:rPr>
          <w:b/>
          <w:bCs/>
          <w:lang w:val="el" w:eastAsia="el"/>
        </w:rPr>
        <w:t xml:space="preserve">Ε-Mail : </w:t>
      </w:r>
      <w:hyperlink r:id="rId4" w:history="1">
        <w:r>
          <w:rPr>
            <w:rStyle w:val="Hyperlink"/>
            <w:b/>
            <w:bCs/>
            <w:color w:val="0000EE"/>
            <w:u w:color="0000EE"/>
            <w:lang w:val="el" w:eastAsia="el"/>
          </w:rPr>
          <w:t>dieldi01@aade.gr</w:t>
        </w:r>
      </w:hyperlink>
    </w:p>
    <w:p>
      <w:pPr>
        <w:pStyle w:val="PreambelText"/>
        <w:spacing w:before="240" w:after="240"/>
        <w:rPr>
          <w:lang w:val="el" w:eastAsia="el"/>
        </w:rPr>
      </w:pPr>
      <w:r>
        <w:rPr>
          <w:b/>
          <w:bCs/>
          <w:lang w:val="el" w:eastAsia="el"/>
        </w:rPr>
        <w:t>Url :</w:t>
      </w:r>
      <w:hyperlink r:id="rId5" w:history="1">
        <w:r>
          <w:rPr>
            <w:rStyle w:val="Hyperlink"/>
            <w:b/>
            <w:bCs/>
            <w:color w:val="0000EE"/>
            <w:u w:color="0000EE"/>
            <w:lang w:val="el" w:eastAsia="el"/>
          </w:rPr>
          <w:t>www.aade .gr</w:t>
        </w:r>
      </w:hyperlink>
    </w:p>
    <w:p>
      <w:pPr>
        <w:pStyle w:val="PreambelText"/>
        <w:spacing w:before="240" w:after="240"/>
        <w:rPr>
          <w:lang w:val="el" w:eastAsia="el"/>
        </w:rPr>
      </w:pPr>
      <w:r>
        <w:rPr>
          <w:b/>
          <w:bCs/>
          <w:lang w:val="el" w:eastAsia="el"/>
        </w:rPr>
        <w:t>Θέμα: Τροποποίηση της υπό στοιχεία Α.1073/2023 απόφασης του Διοικητή της</w:t>
      </w:r>
    </w:p>
    <w:p>
      <w:pPr>
        <w:pStyle w:val="PreambelText"/>
        <w:spacing w:before="240" w:after="240"/>
        <w:rPr>
          <w:lang w:val="el" w:eastAsia="el"/>
        </w:rPr>
      </w:pPr>
      <w:r>
        <w:rPr>
          <w:b/>
          <w:bCs/>
          <w:lang w:val="el" w:eastAsia="el"/>
        </w:rPr>
        <w:t>Ανεξάρτητης Αρχής Δημοσίων Εσόδων (ΑΑΔΕ) «Απόσυρση από τη χρήση και οριστική παύση Ειδικών Ασφαλών Φορολογικών Διατάξεων Σήμανσης Στοιχείων (ΕΑΦΔΣΣ) για το σύνολο των οντοτήτων. Παύση χρήσης απλών Φορολογικών Ηλεκτρονικών Μηχανισμών (ΦΗΜ) για τις οντότητες εστίασης που λειτουργούν με σερβίρισμα σε τραπεζοκαθίσματα και ορισμός υποχρέωσης χρήσης, ΦΗΜΑΣ Εστιατορίου ή ΦΤΜ Εστιατορίου ή ΑΔΗΜΕ Εστιατορίου» (Β΄4516 και Β΄4606).</w:t>
      </w:r>
    </w:p>
    <w:p>
      <w:pPr>
        <w:pStyle w:val="enacting"/>
        <w:spacing w:before="120" w:after="0"/>
        <w:rPr>
          <w:lang w:val="el" w:eastAsia="el"/>
        </w:rPr>
      </w:pPr>
      <w:r>
        <w:rPr>
          <w:b/>
          <w:bCs/>
          <w:lang w:val="el" w:eastAsia="el"/>
        </w:rPr>
        <w:t>ΑΠΟΦΑΣΗ</w:t>
      </w:r>
      <w:r>
        <w:rPr>
          <w:b/>
          <w:bCs/>
          <w:lang w:val="el" w:eastAsia="el"/>
        </w:rPr>
        <w:br/>
      </w:r>
      <w:r>
        <w:rPr>
          <w:b/>
          <w:bCs/>
          <w:lang w:val="el" w:eastAsia="el"/>
        </w:rPr>
        <w:t>Ο ΔΙΟΙΚΗΤΗΣ ΤΗΣ ΑΝΕΞΑΡΤΗΤΗΣ ΑΡΧΗΣ ΔΗΜΟΣΙΩΝ ΕΣΟΔΩΝ</w:t>
      </w:r>
    </w:p>
    <w:p>
      <w:pPr>
        <w:pStyle w:val="PreambelText"/>
        <w:spacing w:before="240" w:after="240"/>
        <w:rPr>
          <w:lang w:val="el" w:eastAsia="el"/>
        </w:rPr>
      </w:pPr>
      <w:r>
        <w:rPr>
          <w:b/>
          <w:bCs/>
          <w:lang w:val="el" w:eastAsia="el"/>
        </w:rPr>
        <w:t>Έχοντας υπόψη:</w:t>
      </w:r>
    </w:p>
    <w:p>
      <w:pPr>
        <w:pStyle w:val="PreambelText"/>
        <w:spacing w:before="240" w:after="240"/>
        <w:rPr>
          <w:lang w:val="el" w:eastAsia="el"/>
        </w:rPr>
      </w:pPr>
      <w:r>
        <w:rPr>
          <w:b/>
          <w:bCs/>
          <w:lang w:val="el" w:eastAsia="el"/>
        </w:rPr>
        <w:t xml:space="preserve">1. </w:t>
      </w:r>
      <w:r>
        <w:rPr>
          <w:b/>
          <w:bCs/>
          <w:lang w:val="el" w:eastAsia="el"/>
        </w:rPr>
        <w:t>Τις διατάξεις:</w:t>
      </w:r>
    </w:p>
    <w:p>
      <w:pPr>
        <w:pStyle w:val="StructureList1"/>
        <w:spacing w:before="120" w:after="0"/>
        <w:rPr>
          <w:lang w:val="el" w:eastAsia="el"/>
        </w:rPr>
      </w:pPr>
      <w:r>
        <w:rPr>
          <w:b/>
          <w:bCs/>
          <w:lang w:val="el" w:eastAsia="el"/>
        </w:rPr>
        <w:t>α)</w:t>
      </w:r>
      <w:r>
        <w:rPr>
          <w:b/>
          <w:bCs/>
          <w:lang w:val="en" w:eastAsia="en"/>
        </w:rPr>
        <w:tab/>
      </w:r>
      <w:r>
        <w:rPr>
          <w:b/>
          <w:bCs/>
          <w:lang w:val="el" w:eastAsia="el"/>
        </w:rPr>
        <w:t>των άρθρων 12 και 40 του ν.4308/2014 «Ελληνικά Λογιστικά Πρότυπα, συναφείς ρυθμίσεις και άλλες διατάξεις» (Α΄251),</w:t>
      </w:r>
    </w:p>
    <w:p>
      <w:pPr>
        <w:pStyle w:val="StructureList1"/>
        <w:spacing w:before="120" w:after="0"/>
        <w:rPr>
          <w:lang w:val="el" w:eastAsia="el"/>
        </w:rPr>
      </w:pPr>
      <w:r>
        <w:rPr>
          <w:b/>
          <w:bCs/>
          <w:lang w:val="el" w:eastAsia="el"/>
        </w:rPr>
        <w:t>β)</w:t>
      </w:r>
      <w:r>
        <w:rPr>
          <w:b/>
          <w:bCs/>
          <w:lang w:val="en" w:eastAsia="en"/>
        </w:rPr>
        <w:tab/>
      </w:r>
      <w:r>
        <w:rPr>
          <w:b/>
          <w:bCs/>
          <w:lang w:val="el" w:eastAsia="el"/>
        </w:rPr>
        <w:t>του Κεφαλαίου Α΄ του μέρους Πρώτου του ν. 4389/2016 «Επείγουσες διατάξεις για την εφαρμογή της συμφωνίας δημοσιονομικών στόχων και διαρθρωτικών μεταρρυθμίσεων και άλλες διατάξεις» (Α΄94).</w:t>
      </w:r>
    </w:p>
    <w:p>
      <w:pPr>
        <w:pStyle w:val="StructureList1"/>
        <w:spacing w:before="120" w:after="0"/>
        <w:rPr>
          <w:lang w:val="el" w:eastAsia="el"/>
        </w:rPr>
      </w:pPr>
      <w:r>
        <w:rPr>
          <w:b/>
          <w:bCs/>
          <w:lang w:val="el" w:eastAsia="el"/>
        </w:rPr>
        <w:t>γ)</w:t>
      </w:r>
      <w:r>
        <w:rPr>
          <w:b/>
          <w:bCs/>
          <w:lang w:val="en" w:eastAsia="en"/>
        </w:rPr>
        <w:tab/>
      </w:r>
      <w:r>
        <w:rPr>
          <w:b/>
          <w:bCs/>
          <w:lang w:val="el" w:eastAsia="el"/>
        </w:rPr>
        <w:t>της υπό στοιχεία Δ.ΟΡΓ.Α 1125859 ΕΞ2020/23.10.2020 απόφασης του Διοικητή της Ανεξάρτητης Αρχής Δημοσίων Εσόδων «Οργανισμός της Ανεξάρτητης Αρχής Δημοσίων Εσόδων (ΑΑΔΕ)» (Β΄4738),</w:t>
      </w:r>
    </w:p>
    <w:p>
      <w:pPr>
        <w:pStyle w:val="StructureList1"/>
        <w:spacing w:before="120" w:after="0"/>
        <w:rPr>
          <w:lang w:val="el" w:eastAsia="el"/>
        </w:rPr>
      </w:pPr>
      <w:r>
        <w:rPr>
          <w:b/>
          <w:bCs/>
          <w:lang w:val="el" w:eastAsia="el"/>
        </w:rPr>
        <w:t>δ)</w:t>
      </w:r>
      <w:r>
        <w:rPr>
          <w:b/>
          <w:bCs/>
          <w:lang w:val="en" w:eastAsia="en"/>
        </w:rPr>
        <w:tab/>
      </w:r>
      <w:r>
        <w:rPr>
          <w:b/>
          <w:bCs/>
          <w:lang w:val="el" w:eastAsia="el"/>
        </w:rPr>
        <w:t>της υπό στοιχεία ΠΟΛ. 1220/13.12.2012 απόφασης του Υφυπουργού Οικονομικών «Κωδικοποίηση Συμπλήρωση τεχνικών προδιαγραφών Φορολογικών ηλεκτρονικών μηχανισμών και συστημάτων. Διαδικασίες χρήσης και λειτουργίας τους. Προδιαγραφές αποστελλομένων αρχείων στην ΓΓΠΣ» (Β΄3517),</w:t>
      </w:r>
    </w:p>
    <w:p>
      <w:pPr>
        <w:pStyle w:val="StructureList1"/>
        <w:spacing w:before="120" w:after="0"/>
        <w:rPr>
          <w:lang w:val="el" w:eastAsia="el"/>
        </w:rPr>
      </w:pPr>
      <w:r>
        <w:rPr>
          <w:b/>
          <w:bCs/>
          <w:lang w:val="el" w:eastAsia="el"/>
        </w:rPr>
        <w:t>ε)</w:t>
      </w:r>
      <w:r>
        <w:rPr>
          <w:b/>
          <w:bCs/>
          <w:lang w:val="en" w:eastAsia="en"/>
        </w:rPr>
        <w:tab/>
      </w:r>
      <w:r>
        <w:rPr>
          <w:b/>
          <w:bCs/>
          <w:lang w:val="el" w:eastAsia="el"/>
        </w:rPr>
        <w:t>της υπό στοιχεία Α.Υ.Ο.Ο. ΠΟΛ. 1015/10.1.2012 «Χρονικά όρια δυνατότητας διάθεσης ΦΗΜ και φορολογικών μνημών» (Β΄257),</w:t>
      </w:r>
    </w:p>
    <w:p>
      <w:pPr>
        <w:pStyle w:val="StructureList1"/>
        <w:spacing w:before="120" w:after="0"/>
        <w:rPr>
          <w:lang w:val="el" w:eastAsia="el"/>
        </w:rPr>
      </w:pPr>
      <w:r>
        <w:rPr>
          <w:b/>
          <w:bCs/>
          <w:lang w:val="el" w:eastAsia="el"/>
        </w:rPr>
        <w:t>στ)</w:t>
      </w:r>
      <w:r>
        <w:rPr>
          <w:b/>
          <w:bCs/>
          <w:lang w:val="en" w:eastAsia="en"/>
        </w:rPr>
        <w:tab/>
      </w:r>
      <w:r>
        <w:rPr>
          <w:b/>
          <w:bCs/>
          <w:lang w:val="el" w:eastAsia="el"/>
        </w:rPr>
        <w:t>της υπό στοιχεία Α.Υ.Ο.Ο. ΠΟΛ. 1063/26.3.2008 «Απαγόρευση εισαγωγής/ παραγωγής, σφράγισης και διάθεσης παλαιών μοντέλων ΦΗΜ και φορολογικών μνημών αυτών, των οποίων η άδεια καταλληλότητας υπερβαίνει τα 4 έτη από την ημερομηνία χορήγησής της» (Β΄ 633), ζ) της υπό στοιχεία Α.Υ.Ο.Ο. ΠΟΛ. 1234/9.10.2002 «Τεχνικές προδιαγραφές φορολογικών ηλεκτρονικών μηχανισμών και συστημάτων» (Β΄1362),</w:t>
      </w:r>
    </w:p>
    <w:p>
      <w:pPr>
        <w:pStyle w:val="StructureList1"/>
        <w:spacing w:before="120" w:after="0"/>
        <w:rPr>
          <w:lang w:val="el" w:eastAsia="el"/>
        </w:rPr>
      </w:pPr>
      <w:r>
        <w:rPr>
          <w:b/>
          <w:bCs/>
          <w:lang w:val="el" w:eastAsia="el"/>
        </w:rPr>
        <w:t>η)</w:t>
      </w:r>
      <w:r>
        <w:rPr>
          <w:b/>
          <w:bCs/>
          <w:lang w:val="en" w:eastAsia="en"/>
        </w:rPr>
        <w:tab/>
      </w:r>
      <w:r>
        <w:rPr>
          <w:b/>
          <w:bCs/>
          <w:lang w:val="el" w:eastAsia="el"/>
        </w:rPr>
        <w:t>της υπό στοιχεία Α.1173/7.12.2022 απόφασης του Διοικητή της ΑΑΔΕ «Τροποποίηση τεχνικών προδιαγραφών ΦΗΜ» (Β’ 6953),</w:t>
      </w:r>
    </w:p>
    <w:p>
      <w:pPr>
        <w:pStyle w:val="StructureList1"/>
        <w:spacing w:before="120" w:after="0"/>
        <w:rPr>
          <w:lang w:val="el" w:eastAsia="el"/>
        </w:rPr>
      </w:pPr>
      <w:r>
        <w:rPr>
          <w:b/>
          <w:bCs/>
          <w:lang w:val="el" w:eastAsia="el"/>
        </w:rPr>
        <w:t>θ)</w:t>
      </w:r>
      <w:r>
        <w:rPr>
          <w:b/>
          <w:bCs/>
          <w:lang w:val="en" w:eastAsia="en"/>
        </w:rPr>
        <w:tab/>
      </w:r>
      <w:r>
        <w:rPr>
          <w:b/>
          <w:bCs/>
          <w:lang w:val="el" w:eastAsia="el"/>
        </w:rPr>
        <w:t>της υπό στοιχεία Α.1024/31.1.2020 απόφασης του Διοικητή της ΑΑΔΕ «Συμπληρωματικές τεχνικές προδιαγραφές πρωτοκόλλου επικοινωνίας και κρυπτογράφησης για την διαβίβαση δεδομένων στο πληροφοριακό σύστημα των ΦΗΜ.» (Β΄317),</w:t>
      </w:r>
    </w:p>
    <w:p>
      <w:pPr>
        <w:pStyle w:val="StructureList1"/>
        <w:spacing w:before="120" w:after="0"/>
        <w:rPr>
          <w:lang w:val="el" w:eastAsia="el"/>
        </w:rPr>
      </w:pPr>
      <w:r>
        <w:rPr>
          <w:b/>
          <w:bCs/>
          <w:lang w:val="el" w:eastAsia="el"/>
        </w:rPr>
        <w:t>ι)</w:t>
      </w:r>
      <w:r>
        <w:rPr>
          <w:b/>
          <w:bCs/>
          <w:lang w:val="en" w:eastAsia="en"/>
        </w:rPr>
        <w:tab/>
      </w:r>
      <w:r>
        <w:rPr>
          <w:b/>
          <w:bCs/>
          <w:lang w:val="el" w:eastAsia="el"/>
        </w:rPr>
        <w:t>της υπό στοιχεία ΠΟΛ. 1068/24.3.2015 απόφασης της Γενικής Γραμματέως Δημοσίων Εσόδων «Διαδικασίες έγκρισης και ανάκλησης Φ.Η.Μ.. Υποχρεώσεις κατόχων άδειας καταλληλότητας Φορολογικών Ηλεκτρονικών Μηχανισμών (Φ.Η.Μ.), πωλητών Φ.Η.Μ., πιστοποιημένων τεχνικών Φ.Η.Μ., κατόχων – χρηστών Φ.Η.Μ.»(Β΄497),</w:t>
      </w:r>
    </w:p>
    <w:p>
      <w:pPr>
        <w:pStyle w:val="StructureList1"/>
        <w:spacing w:before="120" w:after="0"/>
        <w:rPr>
          <w:lang w:val="el" w:eastAsia="el"/>
        </w:rPr>
      </w:pPr>
      <w:r>
        <w:rPr>
          <w:b/>
          <w:bCs/>
          <w:lang w:val="el" w:eastAsia="el"/>
        </w:rPr>
        <w:t>ια)</w:t>
      </w:r>
      <w:r>
        <w:rPr>
          <w:b/>
          <w:bCs/>
          <w:lang w:val="en" w:eastAsia="en"/>
        </w:rPr>
        <w:tab/>
      </w:r>
      <w:r>
        <w:rPr>
          <w:b/>
          <w:bCs/>
          <w:lang w:val="el" w:eastAsia="el"/>
        </w:rPr>
        <w:t>της υπό στοιχεία Α.1035/18.02.2020 απόφασης του Υφυπουργού Οικονομικών «Υποχρεώσεις Παρόχων Υπηρεσιών Ηλεκτρονικής Έκδοσης Στοιχείων και διαδικασίες ελέγχου παροχής υπηρεσιών ηλεκτρονικής έκδοσης στοιχείων» (Β’ 551),</w:t>
      </w:r>
    </w:p>
    <w:p>
      <w:pPr>
        <w:pStyle w:val="StructureList1"/>
        <w:spacing w:before="120" w:after="0"/>
        <w:rPr>
          <w:lang w:val="el" w:eastAsia="el"/>
        </w:rPr>
      </w:pPr>
      <w:r>
        <w:rPr>
          <w:b/>
          <w:bCs/>
          <w:lang w:val="el" w:eastAsia="el"/>
        </w:rPr>
        <w:t>ιβ)</w:t>
      </w:r>
      <w:r>
        <w:rPr>
          <w:b/>
          <w:bCs/>
          <w:lang w:val="en" w:eastAsia="en"/>
        </w:rPr>
        <w:tab/>
      </w:r>
      <w:r>
        <w:rPr>
          <w:b/>
          <w:bCs/>
          <w:lang w:val="el" w:eastAsia="el"/>
        </w:rPr>
        <w:t>της υπό στοιχεία Α.1073/18.5.2023 απόφασης του Διοικητή της Ανεξάρτητης Αρχής Δημοσίων Εσόδων (Α.Α.Δ.Ε.) «Απόσυρση από τη χρήση και οριστική παύση Ειδικών Ασφαλών Φορολογικών Διατάξεων Σήμανσης Στοιχείων (ΕΑΦΔΣΣ) για το σύνολο των οντοτήτων. Παύση χρήσης απλών Φορολογικών Ηλεκτρονικών Μηχανισμών (ΦΗΜ) για τις οντότητες εστίασης που λειτουργούν με σερβίρισμα σε τραπεζοκαθίσματα και ορισμός υποχρέωσης χρήσης, ΦΗ-ΜΑΣ Εστιατορίου ή ΦΤΜ Εστιατορίου ή ΑΔΗΜΕ Εστιατορίου» (Β' 4516 και Β'4606),</w:t>
      </w:r>
    </w:p>
    <w:p>
      <w:pPr>
        <w:pStyle w:val="StructureList1"/>
        <w:spacing w:before="120" w:after="0"/>
        <w:rPr>
          <w:lang w:val="el" w:eastAsia="el"/>
        </w:rPr>
      </w:pPr>
      <w:r>
        <w:rPr>
          <w:b/>
          <w:bCs/>
          <w:lang w:val="el" w:eastAsia="el"/>
        </w:rPr>
        <w:t>ιγ)</w:t>
      </w:r>
      <w:r>
        <w:rPr>
          <w:b/>
          <w:bCs/>
          <w:lang w:val="en" w:eastAsia="en"/>
        </w:rPr>
        <w:tab/>
      </w:r>
      <w:r>
        <w:rPr>
          <w:b/>
          <w:bCs/>
          <w:lang w:val="el" w:eastAsia="el"/>
        </w:rPr>
        <w:t>της υπ΄αρ.1/20.1.2016 Πράξης του Υπουργικού Συμβουλίου «Επιλογή και διορισμός Γενικού Γραμματέα της Γενικής Γραμματείας Δημοσίων Εσόδων του Υπουργείου Οικονομικών» (Υ.Ο.Δ.Δ. 18), σε συνδυασμό με τις διατάξεις του πρώτου εδαφίου της παρ. 10 του άρθρου 41 του ν.4389/2016, την υπ΄αρ. 39/3/30.11.2017 (Υ.Ο.Δ.Δ. 689) απόφαση του Συμβουλίου Διοίκησης της ΑΑΔΕ και την υπό στοιχεία 5294ΕΞ2020/17.01.2020 απόφαση του Υπουργού Οικονομικών, «Ανανέωση της θητείας του Διοικητή της Ανεξάρτητης Αρχής Δημοσίων Εσόδων». (Υ.Ο.Δ.Δ. 27).</w:t>
      </w:r>
    </w:p>
    <w:p>
      <w:pPr>
        <w:pStyle w:val="PreambelText"/>
        <w:spacing w:before="240" w:after="240"/>
        <w:rPr>
          <w:lang w:val="el" w:eastAsia="el"/>
        </w:rPr>
      </w:pPr>
      <w:r>
        <w:rPr>
          <w:b/>
          <w:bCs/>
          <w:lang w:val="el" w:eastAsia="el"/>
        </w:rPr>
        <w:t xml:space="preserve">2. </w:t>
      </w:r>
      <w:r>
        <w:rPr>
          <w:b/>
          <w:bCs/>
          <w:lang w:val="el" w:eastAsia="el"/>
        </w:rPr>
        <w:t>Την ανάγκη παροχής πρόσθετου χρόνου για τη διευκόλυνση των φορολογουμένων ως προς την εκπλήρωση της υποχρέωσης απόσυρσης και οριστικής παύσης χρήσης όλων των ΕΑΦΔΣΣ, και ιδιαίτερα αυτών που χρησιμοποιούνται σε πρατήρια καυσίμων, καθώς καθοδηγούνται από αντλία καυσίμου και η αντικατάστασή τους παρουσιάζει τεχνικές δυσχέρειες.</w:t>
      </w:r>
    </w:p>
    <w:p>
      <w:pPr>
        <w:pStyle w:val="PreambelText"/>
        <w:spacing w:before="240" w:after="240"/>
        <w:rPr>
          <w:lang w:val="el" w:eastAsia="el"/>
        </w:rPr>
      </w:pPr>
      <w:r>
        <w:rPr>
          <w:b/>
          <w:bCs/>
          <w:lang w:val="el" w:eastAsia="el"/>
        </w:rPr>
        <w:t xml:space="preserve">3. </w:t>
      </w:r>
      <w:r>
        <w:rPr>
          <w:b/>
          <w:bCs/>
          <w:lang w:val="el" w:eastAsia="el"/>
        </w:rPr>
        <w:t>Το γεγονός ότι η απόφαση αυτή δεν προκαλεί δαπάνη σε βάρος του Προϋπολογισμού της Ανεξάρτητης Αρχής Δημοσίων Εσόδων (ΑΑΔΕ).</w:t>
      </w:r>
    </w:p>
    <w:p>
      <w:pPr>
        <w:pStyle w:val="enacting"/>
        <w:spacing w:before="120" w:after="0"/>
        <w:rPr>
          <w:lang w:val="el" w:eastAsia="el"/>
        </w:rPr>
      </w:pPr>
      <w:r>
        <w:rPr>
          <w:b/>
          <w:bCs/>
          <w:lang w:val="el" w:eastAsia="el"/>
        </w:rPr>
        <w:t>ΑΠΟΦΑΣΙΖΟΥΜΕ</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Μόνο</w:t>
      </w:r>
    </w:p>
    <w:p>
      <w:pPr>
        <w:spacing w:before="240" w:after="240"/>
        <w:rPr>
          <w:lang w:val="el" w:eastAsia="el"/>
        </w:rPr>
      </w:pPr>
      <w:r>
        <w:rPr>
          <w:b/>
          <w:bCs/>
          <w:lang w:val="el" w:eastAsia="el"/>
        </w:rPr>
        <w:t>Τροποποιούμε την υπό στοιχεία Α.1073/18.5.2023 απόφαση του Διοικητή της Α.Α.Δ.Ε. με θέμα «Απόσυρση από τη χρήση και οριστική παύση Ειδικών Ασφαλών Φορολογικών Διατάξεων Σήμανσης Στοιχείων (ΕΑΦΔΣΣ) για το σύνολο των οντοτήτων. Παύση χρήσης απλών Φορολογικών Ηλεκτρονικών Μηχανισμών (ΦΗΜ) για τις οντότητες εστίασης που λειτουργούν με σερβίρισμα σε τραπεζοκαθίσματα και ορισμός υποχρέωσης χρήσης, ΦΗΜΑΣ Εστιατορίου ή ΦΤΜ Εστιατορίου ή ΑΔΗΜΕ Εστιατορίου»(Β΄4516 και Β΄4606), ως ακολούθως:</w:t>
      </w:r>
    </w:p>
    <w:p>
      <w:pPr>
        <w:pStyle w:val="MainText"/>
        <w:spacing w:before="120" w:after="0"/>
        <w:rPr>
          <w:lang w:val="el" w:eastAsia="el"/>
        </w:rPr>
      </w:pPr>
      <w:r>
        <w:rPr>
          <w:b/>
          <w:bCs/>
          <w:lang w:val="el" w:eastAsia="el"/>
        </w:rPr>
        <w:t>1.</w:t>
      </w:r>
      <w:r>
        <w:rPr>
          <w:b/>
          <w:bCs/>
          <w:lang w:val="el" w:eastAsia="el"/>
        </w:rPr>
        <w:t xml:space="preserve"> </w:t>
      </w:r>
      <w:r>
        <w:rPr>
          <w:b/>
          <w:bCs/>
          <w:lang w:val="el" w:eastAsia="el"/>
        </w:rPr>
        <w:t>Μετά το δεύτερο εδάφιο του άρθρου 1 προστίθενται εδάφια ως εξής:</w:t>
      </w:r>
    </w:p>
    <w:p>
      <w:pPr>
        <w:spacing w:before="240" w:after="240"/>
        <w:rPr>
          <w:lang w:val="el" w:eastAsia="el"/>
        </w:rPr>
      </w:pPr>
      <w:r>
        <w:rPr>
          <w:b/>
          <w:bCs/>
          <w:lang w:val="el" w:eastAsia="el"/>
        </w:rPr>
        <w:t>«Οι ως άνω προθεσμίες του πρώτου και δεύτερου εδαφίου παρατείνονται έως 1.7.2024 και 2.7.2024 αντίστοιχα, υπό την προϋπόθεση ότι υπάρχει σχετικό αποδεικτικό παραγγελίας λοιπών τύπων ΦΗΜ ή έχει υποβληθεί από την οντότητα σχετική δήλωση επιλογής χρήσης της ηλεκτρονικής τιμολόγησης μέσω Παρόχου και αποδοχής της ηλεκτρονικής τιμολόγησης μέσω Παρόχου, σύμφωνα με τα οριζόμενα στην Α.1035/2020 απόφαση του Υφυπουργού Οικονομικών. Ειδικά, οι οντότητες πρατηρίων καυσίμων παύουν τη χρήση και έχουν υποχρέωση υποβολής δήλωσης οριστικής παύσης των ΕΑΦΔΣΣ που καθοδηγούνται από αντλία καυσίμου έως και 31.10.2024».</w:t>
      </w:r>
    </w:p>
    <w:p>
      <w:pPr>
        <w:pStyle w:val="MainText"/>
        <w:spacing w:before="120" w:after="0"/>
        <w:rPr>
          <w:lang w:val="el" w:eastAsia="el"/>
        </w:rPr>
      </w:pPr>
      <w:r>
        <w:rPr>
          <w:b/>
          <w:bCs/>
          <w:lang w:val="el" w:eastAsia="el"/>
        </w:rPr>
        <w:t>2.</w:t>
      </w:r>
      <w:r>
        <w:rPr>
          <w:b/>
          <w:bCs/>
          <w:lang w:val="el" w:eastAsia="el"/>
        </w:rPr>
        <w:t xml:space="preserve"> </w:t>
      </w:r>
      <w:r>
        <w:rPr>
          <w:b/>
          <w:bCs/>
          <w:lang w:val="el" w:eastAsia="el"/>
        </w:rPr>
        <w:t>Το άρθρο 2 αντικαθίσταται ως εξής:</w:t>
      </w:r>
    </w:p>
    <w:p>
      <w:pPr>
        <w:spacing w:before="240" w:after="240"/>
        <w:rPr>
          <w:lang w:val="el" w:eastAsia="el"/>
        </w:rPr>
      </w:pPr>
      <w:r>
        <w:rPr>
          <w:b/>
          <w:bCs/>
          <w:lang w:val="el" w:eastAsia="el"/>
        </w:rPr>
        <w:t>«Άρθρο 2</w:t>
      </w:r>
    </w:p>
    <w:p>
      <w:pPr>
        <w:spacing w:before="240" w:after="240"/>
        <w:rPr>
          <w:lang w:val="el" w:eastAsia="el"/>
        </w:rPr>
      </w:pPr>
      <w:r>
        <w:rPr>
          <w:b/>
          <w:bCs/>
          <w:lang w:val="el" w:eastAsia="el"/>
        </w:rPr>
        <w:t>Παύση χρήσης απλών Φορολογικών Ηλεκτρονικών Μηχανισμών (ΦΗΜ) από τις οντότητες εστίασης που λειτουργούν με σερβίρισμα σε τραπεζοκαθίσματα.</w:t>
      </w:r>
    </w:p>
    <w:p>
      <w:pPr>
        <w:spacing w:before="240" w:after="240"/>
        <w:rPr>
          <w:lang w:val="el" w:eastAsia="el"/>
        </w:rPr>
      </w:pPr>
      <w:r>
        <w:rPr>
          <w:b/>
          <w:bCs/>
          <w:lang w:val="el" w:eastAsia="el"/>
        </w:rPr>
        <w:t>Οι οντότητες εστίασης που λειτουργούν με σερβίρισμα σε τραπεζοκαθίσματα και εκδίδουν τα λογιστικά τους στοιχεία με τη χρήση απλών ΦΗΜ της υπό στοιχεία ΠΟΛ.1220/2012 απόφασης του Υφυπουργού Οικονομικών παύουν τη χρήση αυτών έως και την 1.7.2024.».</w:t>
      </w:r>
    </w:p>
    <w:p>
      <w:pPr>
        <w:pStyle w:val="MainText"/>
        <w:spacing w:before="120" w:after="0"/>
        <w:rPr>
          <w:lang w:val="el" w:eastAsia="el"/>
        </w:rPr>
      </w:pPr>
      <w:r>
        <w:rPr>
          <w:b/>
          <w:bCs/>
          <w:lang w:val="el" w:eastAsia="el"/>
        </w:rPr>
        <w:t>3.</w:t>
      </w:r>
      <w:r>
        <w:rPr>
          <w:b/>
          <w:bCs/>
          <w:lang w:val="el" w:eastAsia="el"/>
        </w:rPr>
        <w:t xml:space="preserve"> </w:t>
      </w:r>
      <w:r>
        <w:rPr>
          <w:b/>
          <w:bCs/>
          <w:lang w:val="el" w:eastAsia="el"/>
        </w:rPr>
        <w:t>Μετά το πρώτο εδάφιο της παρ.1 του άρθρου 3 προστίθεται εδάφιο ως εξής:</w:t>
      </w:r>
    </w:p>
    <w:p>
      <w:pPr>
        <w:spacing w:before="240" w:after="240"/>
        <w:rPr>
          <w:lang w:val="el" w:eastAsia="el"/>
        </w:rPr>
      </w:pPr>
      <w:r>
        <w:rPr>
          <w:b/>
          <w:bCs/>
          <w:lang w:val="el" w:eastAsia="el"/>
        </w:rPr>
        <w:t>«Η προθεσμία του πρώτου εδαφίου παρατείνεται έως 2.7.2024, υπό την προϋπόθεση ότι υπάρχει σχετικό αποδεικτικό παραγγελίας για τους προαναφερθέντες τύπους ΦΗΜ ή έχει υποβληθεί από την οντότητα σχετική δήλωση επιλογής χρήσης της ηλεκτρονικής τιμολόγησης μέσω Παρόχου και αποδοχής της ηλεκτρονικής τιμολόγησης μέσω Παρόχου, σύμφωνα με τα οριζόμενα στην Α.1035/2020 απόφαση του Υφυπουργού Οικονομικών.».</w:t>
      </w:r>
    </w:p>
    <w:p>
      <w:pPr>
        <w:pStyle w:val="MainText"/>
        <w:spacing w:before="120" w:after="0"/>
        <w:rPr>
          <w:lang w:val="el" w:eastAsia="el"/>
        </w:rPr>
      </w:pPr>
      <w:r>
        <w:rPr>
          <w:b/>
          <w:bCs/>
          <w:lang w:val="el" w:eastAsia="el"/>
        </w:rPr>
        <w:t>4.</w:t>
      </w:r>
      <w:r>
        <w:rPr>
          <w:b/>
          <w:bCs/>
          <w:lang w:val="el" w:eastAsia="el"/>
        </w:rPr>
        <w:t xml:space="preserve"> </w:t>
      </w:r>
      <w:r>
        <w:rPr>
          <w:b/>
          <w:bCs/>
          <w:lang w:val="el" w:eastAsia="el"/>
        </w:rPr>
        <w:t>Η παρ. 2 του άρθρου 3 αντικαθίσταται ως εξής:</w:t>
      </w:r>
    </w:p>
    <w:p>
      <w:pPr>
        <w:spacing w:before="240" w:after="240"/>
        <w:rPr>
          <w:lang w:val="el" w:eastAsia="el"/>
        </w:rPr>
      </w:pPr>
      <w:r>
        <w:rPr>
          <w:b/>
          <w:bCs/>
          <w:lang w:val="el" w:eastAsia="el"/>
        </w:rPr>
        <w:t>«Οι οντότητες εστίασης που λειτουργούν με σερβίρισμα σε τραπεζοκαθίσματα και εκδίδουν τα λογιστικά τους στοιχεία με τη χρήση απλών ΦΗΜ, από την 2.7.2024 και εφεξής, έχουν την υποχρέωση χρήσης ΦΗΜΑΣ Εστιατορίου ή ΦΤΜ Εστιατορίου ή ΑΔΗΜΕ Εστιατορίου που πληρούν τις τεχνικές προδιαγραφές που ορίζονται στην υπό στοιχεία Α. 1173/2022 ή Παρόχου υπηρεσιών ηλεκτρονικής έκδοσης στοιχείων λιανικής πώλησης.».</w:t>
      </w:r>
    </w:p>
    <w:p>
      <w:pPr>
        <w:pStyle w:val="MainText"/>
        <w:spacing w:before="120" w:after="0"/>
        <w:rPr>
          <w:lang w:val="el" w:eastAsia="el"/>
        </w:rPr>
      </w:pPr>
      <w:r>
        <w:rPr>
          <w:b/>
          <w:bCs/>
          <w:lang w:val="el" w:eastAsia="el"/>
        </w:rPr>
        <w:t>5.</w:t>
      </w:r>
      <w:r>
        <w:rPr>
          <w:b/>
          <w:bCs/>
          <w:lang w:val="el" w:eastAsia="el"/>
        </w:rPr>
        <w:t xml:space="preserve"> </w:t>
      </w:r>
      <w:r>
        <w:rPr>
          <w:b/>
          <w:bCs/>
          <w:lang w:val="el" w:eastAsia="el"/>
        </w:rPr>
        <w:t>Η απόφαση αυτή ισχύει από την δημοσίευσή της στην Εφημερίδα της Κυβερνήσεως.</w:t>
      </w:r>
    </w:p>
    <w:p>
      <w:pPr>
        <w:spacing w:before="240" w:after="240"/>
        <w:rPr>
          <w:lang w:val="el" w:eastAsia="el"/>
        </w:rPr>
      </w:pPr>
      <w:r>
        <w:rPr>
          <w:b/>
          <w:bCs/>
          <w:lang w:val="el" w:eastAsia="el"/>
        </w:rPr>
        <w:t>Η απόφαση αυτή να δημοσιευθεί στην Εφημερίδα της Κυβερνήσεως.</w:t>
      </w:r>
    </w:p>
    <w:p>
      <w:pPr>
        <w:spacing w:before="240" w:after="240"/>
        <w:rPr>
          <w:lang w:val="el" w:eastAsia="el"/>
        </w:rPr>
      </w:pPr>
      <w:r>
        <w:rPr>
          <w:b/>
          <w:bCs/>
          <w:lang w:val="el" w:eastAsia="el"/>
        </w:rPr>
        <w:t>Ο ΔΙΟΙΚΗΤΗΣ ΤΗΣ ΑΝΕΞΑΡΤΗΤΗΣ ΑΡΧΗΣ ΔΗΜΟΣΙΩΝ ΕΣΟΔΩΝ ΓΕΩΡΓΙΟΣ ΠΙΤΣΙΛΗΣ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u w:val="single"/>
          <w:lang w:val="el" w:eastAsia="el"/>
        </w:rPr>
        <w:t>Ι. ΑΠΟΔΕΚΤΕΣ ΓΙΑ ΕΝΕΡΓΕΙΑ</w:t>
      </w:r>
    </w:p>
    <w:p>
      <w:pPr>
        <w:spacing w:before="240" w:after="240"/>
        <w:rPr>
          <w:lang w:val="el" w:eastAsia="el"/>
        </w:rPr>
      </w:pPr>
      <w:r>
        <w:rPr>
          <w:b/>
          <w:bCs/>
          <w:lang w:val="el" w:eastAsia="el"/>
        </w:rPr>
        <w:t xml:space="preserve">1. </w:t>
      </w:r>
      <w:r>
        <w:rPr>
          <w:b/>
          <w:bCs/>
          <w:lang w:val="el" w:eastAsia="el"/>
        </w:rPr>
        <w:t>Εθνικό Τυπογραφείο (στην ηλεκτρονική διεύθυνση “webmaster.et@et.gr”) για δημοσίευση της απόφασης</w:t>
      </w:r>
    </w:p>
    <w:p>
      <w:pPr>
        <w:spacing w:before="240" w:after="240"/>
        <w:rPr>
          <w:lang w:val="el" w:eastAsia="el"/>
        </w:rPr>
      </w:pPr>
      <w:r>
        <w:rPr>
          <w:b/>
          <w:bCs/>
          <w:lang w:val="el" w:eastAsia="el"/>
        </w:rPr>
        <w:t xml:space="preserve">2. </w:t>
      </w:r>
      <w:r>
        <w:rPr>
          <w:b/>
          <w:bCs/>
          <w:lang w:val="el" w:eastAsia="el"/>
        </w:rPr>
        <w:t>Αποδέκτες πίνακα Β΄, Γ΄</w:t>
      </w:r>
    </w:p>
    <w:p>
      <w:pPr>
        <w:spacing w:before="240" w:after="240"/>
        <w:rPr>
          <w:lang w:val="el" w:eastAsia="el"/>
        </w:rPr>
      </w:pPr>
      <w:r>
        <w:rPr>
          <w:b/>
          <w:bCs/>
          <w:lang w:val="el" w:eastAsia="el"/>
        </w:rPr>
        <w:t xml:space="preserve">3. </w:t>
      </w:r>
      <w:r>
        <w:rPr>
          <w:b/>
          <w:bCs/>
          <w:lang w:val="el" w:eastAsia="el"/>
        </w:rPr>
        <w:t>Διεύθυνση Στρατηγικής Τεχνολογιών Πληροφορικής (για ανάρτηση στην ιστοσελίδα της Α.Α.Δ.Ε. και στην Ηλεκτρονική Βιβλιοθήκη)</w:t>
      </w:r>
    </w:p>
    <w:p>
      <w:pPr>
        <w:spacing w:before="240" w:after="240"/>
        <w:rPr>
          <w:lang w:val="el" w:eastAsia="el"/>
        </w:rPr>
      </w:pPr>
      <w:r>
        <w:rPr>
          <w:b/>
          <w:bCs/>
          <w:u w:val="single"/>
          <w:lang w:val="el" w:eastAsia="el"/>
        </w:rPr>
        <w:t>ΙΙ. ΑΠΟΔΕΚΤΕΣ ΓΙΑ ΚΟΙΝΟΠΟΙΗΣΗ</w:t>
      </w:r>
    </w:p>
    <w:p>
      <w:pPr>
        <w:spacing w:before="240" w:after="240"/>
        <w:rPr>
          <w:lang w:val="el" w:eastAsia="el"/>
        </w:rPr>
      </w:pPr>
      <w:r>
        <w:rPr>
          <w:b/>
          <w:bCs/>
          <w:lang w:val="el" w:eastAsia="el"/>
        </w:rPr>
        <w:t xml:space="preserve">1. </w:t>
      </w:r>
      <w:r>
        <w:rPr>
          <w:b/>
          <w:bCs/>
          <w:lang w:val="el" w:eastAsia="el"/>
        </w:rPr>
        <w:t>Γραφείο Υπουργού Εθνικής Οικονομίας και Οικονομικών</w:t>
      </w:r>
    </w:p>
    <w:p>
      <w:pPr>
        <w:spacing w:before="240" w:after="240"/>
        <w:rPr>
          <w:lang w:val="el" w:eastAsia="el"/>
        </w:rPr>
      </w:pPr>
      <w:r>
        <w:rPr>
          <w:b/>
          <w:bCs/>
          <w:lang w:val="el" w:eastAsia="el"/>
        </w:rPr>
        <w:t xml:space="preserve">2. </w:t>
      </w:r>
      <w:r>
        <w:rPr>
          <w:b/>
          <w:bCs/>
          <w:lang w:val="el" w:eastAsia="el"/>
        </w:rPr>
        <w:t>Γραφείο Υφυπουργού Εθνικής Οικονομίας και Οικονομικών</w:t>
      </w:r>
    </w:p>
    <w:p>
      <w:pPr>
        <w:spacing w:before="240" w:after="240"/>
        <w:rPr>
          <w:lang w:val="el" w:eastAsia="el"/>
        </w:rPr>
      </w:pPr>
      <w:r>
        <w:rPr>
          <w:b/>
          <w:bCs/>
          <w:lang w:val="el" w:eastAsia="el"/>
        </w:rPr>
        <w:t xml:space="preserve">3. </w:t>
      </w:r>
      <w:r>
        <w:rPr>
          <w:b/>
          <w:bCs/>
          <w:lang w:val="el" w:eastAsia="el"/>
        </w:rPr>
        <w:t>Γραφείο Γενικού Γραμματέα Φορολογικής Πολιτικής</w:t>
      </w:r>
    </w:p>
    <w:p>
      <w:pPr>
        <w:spacing w:before="240" w:after="240"/>
        <w:rPr>
          <w:lang w:val="el" w:eastAsia="el"/>
        </w:rPr>
      </w:pPr>
      <w:r>
        <w:rPr>
          <w:b/>
          <w:bCs/>
          <w:lang w:val="el" w:eastAsia="el"/>
        </w:rPr>
        <w:t xml:space="preserve">4. </w:t>
      </w:r>
      <w:r>
        <w:rPr>
          <w:b/>
          <w:bCs/>
          <w:lang w:val="el" w:eastAsia="el"/>
        </w:rPr>
        <w:t>Αποδέκτες Πίνακα Ζ, Η, ΙΑ (εκτός από τα υποθηκοφυλάκεια), ΙΒ΄, ΙΣΤ΄</w:t>
      </w:r>
    </w:p>
    <w:p>
      <w:pPr>
        <w:spacing w:before="240" w:after="240"/>
        <w:rPr>
          <w:lang w:val="el" w:eastAsia="el"/>
        </w:rPr>
      </w:pPr>
      <w:r>
        <w:rPr>
          <w:b/>
          <w:bCs/>
          <w:u w:val="single"/>
          <w:lang w:val="el" w:eastAsia="el"/>
        </w:rPr>
        <w:t>ΙΙΙ. ΕΣΩΤΕΡΙΚΗ ΔΙΑΝΟΜΗ</w:t>
      </w:r>
    </w:p>
    <w:p>
      <w:pPr>
        <w:spacing w:before="240" w:after="240"/>
        <w:rPr>
          <w:lang w:val="el" w:eastAsia="el"/>
        </w:rPr>
      </w:pPr>
      <w:r>
        <w:rPr>
          <w:b/>
          <w:bCs/>
          <w:lang w:val="el" w:eastAsia="el"/>
        </w:rPr>
        <w:t xml:space="preserve">1. </w:t>
      </w:r>
      <w:r>
        <w:rPr>
          <w:b/>
          <w:bCs/>
          <w:lang w:val="el" w:eastAsia="el"/>
        </w:rPr>
        <w:t>Γραφείο Διοικητή Ανεξάρτητης Αρχής Δημοσίων Εσόδων</w:t>
      </w:r>
    </w:p>
    <w:p>
      <w:pPr>
        <w:spacing w:before="240" w:after="240"/>
        <w:rPr>
          <w:lang w:val="el" w:eastAsia="el"/>
        </w:rPr>
      </w:pPr>
      <w:r>
        <w:rPr>
          <w:b/>
          <w:bCs/>
          <w:lang w:val="el" w:eastAsia="el"/>
        </w:rPr>
        <w:t xml:space="preserve">2. </w:t>
      </w:r>
      <w:r>
        <w:rPr>
          <w:b/>
          <w:bCs/>
          <w:lang w:val="el" w:eastAsia="el"/>
        </w:rPr>
        <w:t>Γραφεία Προϊσταμένων Γενικών Διευθύνσεων της Α.Α.Δ.Ε.</w:t>
      </w:r>
    </w:p>
    <w:p>
      <w:pPr>
        <w:spacing w:before="240" w:after="240"/>
        <w:rPr>
          <w:lang w:val="el" w:eastAsia="el"/>
        </w:rPr>
      </w:pPr>
      <w:r>
        <w:rPr>
          <w:b/>
          <w:bCs/>
          <w:lang w:val="el" w:eastAsia="el"/>
        </w:rPr>
        <w:t xml:space="preserve">3. </w:t>
      </w:r>
      <w:r>
        <w:rPr>
          <w:b/>
          <w:bCs/>
          <w:lang w:val="el" w:eastAsia="el"/>
        </w:rPr>
        <w:t>Διευθύνσεις της Γενικής Διεύθυνσης Φορολογίας</w:t>
      </w:r>
    </w:p>
    <w:p>
      <w:pPr>
        <w:spacing w:before="240" w:after="240"/>
        <w:rPr>
          <w:lang w:val="el" w:eastAsia="el"/>
        </w:rPr>
      </w:pPr>
      <w:r>
        <w:rPr>
          <w:b/>
          <w:bCs/>
          <w:lang w:val="el" w:eastAsia="el"/>
        </w:rPr>
        <w:t xml:space="preserve">4. </w:t>
      </w:r>
      <w:r>
        <w:rPr>
          <w:b/>
          <w:bCs/>
          <w:lang w:val="el" w:eastAsia="el"/>
        </w:rPr>
        <w:t>Διεύθυνση Επικοινωνίας</w:t>
      </w:r>
    </w:p>
    <w:p>
      <w:pPr>
        <w:spacing w:before="240" w:after="240"/>
        <w:rPr>
          <w:lang w:val="el" w:eastAsia="el"/>
        </w:rPr>
      </w:pPr>
      <w:r>
        <w:rPr>
          <w:b/>
          <w:bCs/>
          <w:lang w:val="el" w:eastAsia="el"/>
        </w:rPr>
        <w:t xml:space="preserve">5. </w:t>
      </w:r>
      <w:r>
        <w:rPr>
          <w:b/>
          <w:bCs/>
          <w:lang w:val="el" w:eastAsia="el"/>
        </w:rPr>
        <w:t>Διεύθυνση Νομικής υποστήριξης</w:t>
      </w:r>
    </w:p>
    <w:p>
      <w:pPr>
        <w:spacing w:before="240" w:after="240"/>
        <w:rPr>
          <w:lang w:val="el" w:eastAsia="el"/>
        </w:rPr>
      </w:pPr>
      <w:r>
        <w:rPr>
          <w:b/>
          <w:bCs/>
          <w:lang w:val="el" w:eastAsia="el"/>
        </w:rPr>
        <w:t xml:space="preserve">6. </w:t>
      </w:r>
      <w:r>
        <w:rPr>
          <w:b/>
          <w:bCs/>
          <w:lang w:val="el" w:eastAsia="el"/>
        </w:rPr>
        <w:t>Διεύθυνση Ανάπτυξης Φορολογικών Εφαρμογών-Τμήμα Δ΄</w:t>
      </w:r>
    </w:p>
    <w:p>
      <w:pPr>
        <w:spacing w:before="240" w:after="240"/>
        <w:rPr>
          <w:lang w:val="el" w:eastAsia="el"/>
        </w:rPr>
      </w:pPr>
      <w:r>
        <w:rPr>
          <w:b/>
          <w:bCs/>
          <w:lang w:val="el" w:eastAsia="el"/>
        </w:rPr>
        <w:t xml:space="preserve">7. </w:t>
      </w:r>
      <w:r>
        <w:rPr>
          <w:b/>
          <w:bCs/>
          <w:lang w:val="el" w:eastAsia="el"/>
        </w:rPr>
        <w:t>Διεύθυνση Στρατηγικής Τεχνολογιών Πληροφορικής</w:t>
      </w:r>
    </w:p>
    <w:p>
      <w:pPr>
        <w:spacing w:before="240" w:after="240"/>
        <w:rPr>
          <w:lang w:val="el" w:eastAsia="el"/>
        </w:rPr>
      </w:pPr>
      <w:r>
        <w:rPr>
          <w:b/>
          <w:bCs/>
          <w:lang w:val="el" w:eastAsia="el"/>
        </w:rPr>
        <w:t xml:space="preserve">8. </w:t>
      </w:r>
      <w:r>
        <w:rPr>
          <w:b/>
          <w:bCs/>
          <w:lang w:val="el" w:eastAsia="el"/>
        </w:rPr>
        <w:t>Διεύθυνση Διαχείρισης Υποδομών-Τμήμα Ε΄</w:t>
      </w:r>
    </w:p>
    <w:p>
      <w:pPr>
        <w:spacing w:before="240" w:after="240"/>
        <w:rPr>
          <w:lang w:val="el" w:eastAsia="el"/>
        </w:rPr>
      </w:pPr>
      <w:r>
        <w:rPr>
          <w:b/>
          <w:bCs/>
          <w:lang w:val="el" w:eastAsia="el"/>
        </w:rPr>
        <w:t xml:space="preserve">9. </w:t>
      </w:r>
      <w:r>
        <w:rPr>
          <w:b/>
          <w:bCs/>
          <w:lang w:val="el" w:eastAsia="el"/>
        </w:rPr>
        <w:t>Διεύθυνση Ελεγκτικών Διαδικασιών- Τμήμα Α΄</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ieldi01@aade.gr" TargetMode="External" /><Relationship Id="rId5" Type="http://schemas.openxmlformats.org/officeDocument/2006/relationships/hyperlink" Target="http://www.aade.gr/"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