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9ΒΤΔ46ΜΠ3Ζ-ΧΧΙ</w:t>
      </w:r>
    </w:p>
    <w:p>
      <w:pPr>
        <w:pStyle w:val="PreambelText"/>
        <w:spacing w:before="240" w:after="240"/>
        <w:rPr>
          <w:lang w:val="el" w:eastAsia="el"/>
        </w:rPr>
      </w:pPr>
      <w:r>
        <w:rPr>
          <w:b/>
          <w:bCs/>
          <w:lang w:val="el" w:eastAsia="el"/>
        </w:rPr>
        <w:t>Αριθ. ΦΕΚ: 2521 Β΄/26.4.2024</w:t>
      </w:r>
    </w:p>
    <w:p>
      <w:pPr>
        <w:pStyle w:val="PreambelText"/>
        <w:spacing w:before="240" w:after="240"/>
        <w:rPr>
          <w:lang w:val="el" w:eastAsia="el"/>
        </w:rPr>
      </w:pPr>
      <w:r>
        <w:rPr>
          <w:b/>
          <w:bCs/>
          <w:lang w:val="el" w:eastAsia="el"/>
        </w:rPr>
        <w:t>Αθήνα, 25 Απριλίου 2024</w:t>
      </w:r>
    </w:p>
    <w:p>
      <w:pPr>
        <w:pStyle w:val="PreambelText"/>
        <w:spacing w:before="240" w:after="240"/>
        <w:rPr>
          <w:lang w:val="el" w:eastAsia="el"/>
        </w:rPr>
      </w:pPr>
      <w:r>
        <w:rPr>
          <w:b/>
          <w:bCs/>
          <w:lang w:val="el" w:eastAsia="el"/>
        </w:rPr>
        <w:t>A. 1064</w:t>
      </w:r>
    </w:p>
    <w:p>
      <w:pPr>
        <w:pStyle w:val="PreambelText"/>
        <w:spacing w:before="240" w:after="240"/>
        <w:rPr>
          <w:lang w:val="el" w:eastAsia="el"/>
        </w:rPr>
      </w:pPr>
      <w:r>
        <w:rPr>
          <w:b/>
          <w:bCs/>
          <w:lang w:val="el" w:eastAsia="el"/>
        </w:rPr>
        <w:t>ΓΕΝΙΚΗ ΔΙΕΥΘΥΝΣΗ ΦΟΡΟΛΟΓΙΑΣ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Θέμα: Τροποποίηση της υπό στοιχεία ΠΟΛ.1002/31.12.2014 απόφασης της Γενικής Γραμματέως Δημοσίων Εσόδων (Γ.Γ.Δ.Ε.)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(Β΄3/2015)</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παραγράφων 3 και 11 του άρθρου 12 του ν.4308/2014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ν. 4389/2016 (Α΄94)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ΠΟΛ.1002/31.12.2014 απόφαση της Γενικής Γραμματέως Δημοσίων Εσόδων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(Β΄3/2015),</w:t>
      </w:r>
    </w:p>
    <w:p>
      <w:pPr>
        <w:spacing w:before="240" w:after="240"/>
        <w:rPr>
          <w:lang w:val="el" w:eastAsia="el"/>
        </w:rPr>
      </w:pPr>
      <w:r>
        <w:rPr>
          <w:lang w:val="el" w:eastAsia="el"/>
        </w:rPr>
        <w:t xml:space="preserve">3. </w:t>
      </w:r>
      <w:r>
        <w:rPr>
          <w:b/>
          <w:bCs/>
          <w:lang w:val="el" w:eastAsia="el"/>
        </w:rPr>
        <w:t>Την υπ’ αριθ.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αριθ. 39/3/30.11.2017 (Υ.Ο.Δ.Δ. 689)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ρύθμισης της διαδικασίας έκδοσης αποδείξεων λιανικών συναλλαγών για την πώληση αγαθών ή παροχή υπηρεσιών των ταμειακών συστημάτων των αυτόματων μηχανημάτων – πωλητών και αντιμετώπισης ζητημάτων παραμετροποίησης που αντιμετωπίζουν οι Πάροχοι τηλεπικοινωνιών κατά την έκδοση αποδείξεων λιανικών συναλλαγών για την πώληση αγαθών ή παροχή υπηρεσιών και την εφαρμογή του κανονιστικού πλαισίου διαβίβασης δεδομένων εσόδων λιανικών συναλλαγών στην ψηφιακή πλατφόρμα myDATA της ΑΑΔΕ.</w:t>
      </w:r>
    </w:p>
    <w:p>
      <w:pPr>
        <w:spacing w:before="240" w:after="240"/>
        <w:rPr>
          <w:lang w:val="el" w:eastAsia="el"/>
        </w:rPr>
      </w:pPr>
      <w:r>
        <w:rPr>
          <w:lang w:val="el" w:eastAsia="el"/>
        </w:rPr>
        <w:t xml:space="preserve">6.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ΠΟΛ.1002/31.12.2014 απόφαση της Γενικής Γραμματέως Δημοσίων Εσόδων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(Β΄3/2015),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πρώτο εδάφιο του άρθρου 1 τροποποιείται ως εξής:</w:t>
      </w:r>
    </w:p>
    <w:p>
      <w:pPr>
        <w:spacing w:before="240" w:after="240"/>
        <w:rPr>
          <w:lang w:val="el" w:eastAsia="el"/>
        </w:rPr>
      </w:pPr>
      <w:r>
        <w:rPr>
          <w:b/>
          <w:bCs/>
          <w:lang w:val="el" w:eastAsia="el"/>
        </w:rPr>
        <w:t>«Ορίζουμε τις οντότητες που απαλλάσσονται από το τρέχον φορολογικό έτος και εφεξής, από τη χρήση ΦΗΜ (Φορολογικών Ηλεκτρονικών Μηχανισμών), καθώς και τις περιπτώσεις λιανικών συναλλαγών που απαλλάσσονται από την υποχρέωση έκδοσης των σχετικών παραστατικών (αποδείξεων) μέσω φορολογικού ηλεκτρονικού μηχανισμού, ως εξής:».</w:t>
      </w:r>
    </w:p>
    <w:p>
      <w:pPr>
        <w:pStyle w:val="MainText"/>
        <w:spacing w:before="120" w:after="0"/>
        <w:rPr>
          <w:lang w:val="el" w:eastAsia="el"/>
        </w:rPr>
      </w:pPr>
      <w:r>
        <w:rPr>
          <w:b/>
          <w:bCs/>
          <w:lang w:val="el" w:eastAsia="el"/>
        </w:rPr>
        <w:t>2.</w:t>
      </w:r>
      <w:r>
        <w:rPr>
          <w:lang w:val="el" w:eastAsia="el"/>
        </w:rPr>
        <w:t xml:space="preserve"> </w:t>
      </w:r>
      <w:r>
        <w:rPr>
          <w:b/>
          <w:bCs/>
          <w:lang w:val="el" w:eastAsia="el"/>
        </w:rPr>
        <w:t>Μετά την περ. ε΄ της παρ. 4 του άρθρου 1 προστίθενται οι περ. στ΄ και ζ΄ ως εξής:</w:t>
      </w:r>
    </w:p>
    <w:p>
      <w:pPr>
        <w:spacing w:before="240" w:after="240"/>
        <w:rPr>
          <w:lang w:val="el" w:eastAsia="el"/>
        </w:rPr>
      </w:pPr>
      <w:r>
        <w:rPr>
          <w:b/>
          <w:bCs/>
          <w:lang w:val="el" w:eastAsia="el"/>
        </w:rPr>
        <w:t>«στ) Οι αποδείξεις λιανικών συναλλαγών που εκδίδονται από Παρόχους τηλεπικοινωνιών και αφορούν σε πωλήσεις αγαθών ή παροχή υπηρεσιών, πλην παραστατικών λογαριασμών τηλεπικοινωνιακών υπηρεσιών. Η απαλλαγή παύει αυτοδικαίως για κάθε Πάροχο τηλεπικοινωνιών που λαμβάνει «άδεια καταλληλότητας» λογισμικού ηλεκτρονικής έκδοσης στοιχείων λιανικής πώλησης,</w:t>
      </w:r>
    </w:p>
    <w:p>
      <w:pPr>
        <w:spacing w:before="240" w:after="240"/>
        <w:rPr>
          <w:lang w:val="el" w:eastAsia="el"/>
        </w:rPr>
      </w:pPr>
      <w:r>
        <w:rPr>
          <w:b/>
          <w:bCs/>
          <w:lang w:val="el" w:eastAsia="el"/>
        </w:rPr>
        <w:t>ζ) Οι αποδείξεις λιανικών συναλλαγών που εκδίδονται για συναλλαγές που αφορούν σε πωλήσεις αγαθών ή παροχή υπηρεσιών από αυτόματα μηχανήματα – πωλητές, (π.χ. αυτόματοι πωλητές αναψυκτικών, τροφίμων, πλυσίματος αυτοκινήτων, ρούχων κ.λπ.) έως την 31.12.2024. Από τις παραπάνω περιπτώσεις, εξαιρούνται οι συναλλαγές που διενεργούνται μέσω αυτόματων μηχανημάτων πώλησης υγρών καυσίμων.».</w:t>
      </w:r>
    </w:p>
    <w:p>
      <w:pPr>
        <w:pStyle w:val="MainText"/>
        <w:spacing w:before="120" w:after="0"/>
        <w:rPr>
          <w:lang w:val="el" w:eastAsia="el"/>
        </w:rPr>
      </w:pPr>
      <w:r>
        <w:rPr>
          <w:b/>
          <w:bCs/>
          <w:lang w:val="el" w:eastAsia="el"/>
        </w:rPr>
        <w:t>3.</w:t>
      </w:r>
      <w:r>
        <w:rPr>
          <w:lang w:val="el" w:eastAsia="el"/>
        </w:rPr>
        <w:t xml:space="preserve"> </w:t>
      </w:r>
      <w:r>
        <w:rPr>
          <w:b/>
          <w:bCs/>
          <w:lang w:val="el" w:eastAsia="el"/>
        </w:rPr>
        <w:t>Το άρθρο 2 τροποποιείται ως εξής:</w:t>
      </w:r>
    </w:p>
    <w:p>
      <w:pPr>
        <w:spacing w:before="240" w:after="240"/>
        <w:rPr>
          <w:lang w:val="el" w:eastAsia="el"/>
        </w:rPr>
      </w:pPr>
      <w:r>
        <w:rPr>
          <w:b/>
          <w:bCs/>
          <w:lang w:val="el" w:eastAsia="el"/>
        </w:rPr>
        <w:t>«Στα εκδιδόμενα στοιχεία λιανικής πώλησης που αφορούν σε παραστατικά λογαριασμών πωλήσεων πόσιμου ύδατος μέσω δικτύου, ηλεκτρικού ρεύματος και τηλεπικοινωνιακών υπηρεσιών, καθώς και στις ασφαλιστικές υπηρεσίες, αναγράφονται και το ονοματεπώνυμο του πελάτη, η διεύθυνσή του και ο αριθμός φορολογικού μητρώου ή ο αριθμός της αστυνομικής του ταυτότητας, αν στερείται αριθμού φορολογικού μητρώου.»</w:t>
      </w:r>
    </w:p>
    <w:p>
      <w:pPr>
        <w:pStyle w:val="MainText"/>
        <w:spacing w:before="120" w:after="0"/>
        <w:rPr>
          <w:lang w:val="el" w:eastAsia="el"/>
        </w:rPr>
      </w:pPr>
      <w:r>
        <w:rPr>
          <w:b/>
          <w:bCs/>
          <w:lang w:val="el" w:eastAsia="el"/>
        </w:rPr>
        <w:t>4.</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8. </w:t>
      </w:r>
      <w:r>
        <w:rPr>
          <w:b/>
          <w:bCs/>
          <w:lang w:val="el" w:eastAsia="el"/>
        </w:rPr>
        <w:t>Διεύθυνση Ελεγκτικών Διαδικασιών- Τμήμα A’</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