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 ΔΙΕΥΘΥΝΣΗ ΕΛΕΓΚΤΙΚΩΝ ΔΙΑΔΙΚΑΣΙΩΝ ΤΜΗΜΑ Α΄</w:t>
      </w:r>
    </w:p>
    <w:p>
      <w:pPr>
        <w:pStyle w:val="PreambelText"/>
        <w:spacing w:before="240" w:after="240"/>
        <w:rPr>
          <w:lang w:val="el" w:eastAsia="el"/>
        </w:rPr>
      </w:pPr>
      <w:r>
        <w:rPr>
          <w:b/>
          <w:bCs/>
          <w:lang w:val="el" w:eastAsia="el"/>
        </w:rPr>
        <w:t>Β. ΓΕΝΙΚΗ ΔΙΕΥΘΥΝΣΗ ΗΛΕΚΤΡΟΝΙΚΗΣ</w:t>
      </w:r>
    </w:p>
    <w:p>
      <w:pPr>
        <w:pStyle w:val="PreambelText"/>
        <w:spacing w:before="240" w:after="240"/>
        <w:rPr>
          <w:lang w:val="el" w:eastAsia="el"/>
        </w:rPr>
      </w:pPr>
      <w:r>
        <w:rPr>
          <w:b/>
          <w:bCs/>
          <w:lang w:val="el" w:eastAsia="el"/>
        </w:rPr>
        <w:t>ΔΙΑΚΥΒΕΡΝΗΣΗΣ</w:t>
      </w:r>
    </w:p>
    <w:p>
      <w:pPr>
        <w:pStyle w:val="PreambelText"/>
        <w:spacing w:before="240" w:after="240"/>
        <w:rPr>
          <w:lang w:val="el" w:eastAsia="el"/>
        </w:rPr>
      </w:pPr>
      <w:r>
        <w:rPr>
          <w:b/>
          <w:bCs/>
          <w:lang w:val="el" w:eastAsia="el"/>
        </w:rPr>
        <w:t>ΔΙΕΥΘΥΝΣΗ ΔΙΑΧΕΙΡΙΣΗΣ ΥΠΟΔΟΜΩΝ ΤΜΗΜΑ Ε΄</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Ε-Mail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Χανδρή 1 &amp; Θεσσαλονίκης</w:t>
      </w:r>
    </w:p>
    <w:p>
      <w:pPr>
        <w:pStyle w:val="PreambelText"/>
        <w:spacing w:before="240" w:after="240"/>
        <w:rPr>
          <w:lang w:val="el" w:eastAsia="el"/>
        </w:rPr>
      </w:pPr>
      <w:r>
        <w:rPr>
          <w:b/>
          <w:bCs/>
          <w:lang w:val="el" w:eastAsia="el"/>
        </w:rPr>
        <w:t>18346 Μοσχάτο</w:t>
      </w:r>
    </w:p>
    <w:p>
      <w:pPr>
        <w:pStyle w:val="PreambelText"/>
        <w:spacing w:before="240" w:after="240"/>
        <w:rPr>
          <w:lang w:val="el" w:eastAsia="el"/>
        </w:rPr>
      </w:pPr>
      <w:r>
        <w:rPr>
          <w:b/>
          <w:bCs/>
          <w:lang w:val="el" w:eastAsia="el"/>
        </w:rPr>
        <w:t>210-4802550, 210-4802648</w:t>
      </w:r>
    </w:p>
    <w:p>
      <w:pPr>
        <w:pStyle w:val="PreambelText"/>
        <w:spacing w:before="240" w:after="240"/>
        <w:rPr>
          <w:lang w:val="el" w:eastAsia="el"/>
        </w:rPr>
      </w:pPr>
      <w:hyperlink r:id="rId4" w:history="1">
        <w:r>
          <w:rPr>
            <w:rStyle w:val="Hyperlink"/>
            <w:b/>
            <w:bCs/>
            <w:color w:val="0000EE"/>
            <w:u w:color="0000EE"/>
            <w:lang w:val="el" w:eastAsia="el"/>
          </w:rPr>
          <w:t>dieldi01@aade.gr</w:t>
        </w:r>
      </w:hyperlink>
    </w:p>
    <w:p>
      <w:pPr>
        <w:pStyle w:val="PreambelText"/>
        <w:spacing w:before="240" w:after="240"/>
        <w:rPr>
          <w:lang w:val="el" w:eastAsia="el"/>
        </w:rPr>
      </w:pPr>
      <w:hyperlink r:id="rId5" w:history="1">
        <w:r>
          <w:rPr>
            <w:rStyle w:val="Hyperlink"/>
            <w:b/>
            <w:bCs/>
            <w:color w:val="0000EE"/>
            <w:u w:color="0000EE"/>
            <w:lang w:val="el" w:eastAsia="el"/>
          </w:rPr>
          <w:t xml:space="preserve">www </w:t>
        </w:r>
        <w:r>
          <w:rPr>
            <w:rStyle w:val="Hyperlink"/>
            <w:b/>
            <w:bCs/>
            <w:color w:val="0000EE"/>
            <w:u w:color="0000EE"/>
            <w:lang w:val="el" w:eastAsia="el"/>
          </w:rPr>
          <w:t xml:space="preserve">. </w:t>
        </w:r>
        <w:r>
          <w:rPr>
            <w:rStyle w:val="Hyperlink"/>
            <w:b/>
            <w:bCs/>
            <w:color w:val="0000EE"/>
            <w:u w:color="0000EE"/>
            <w:lang w:val="el" w:eastAsia="el"/>
          </w:rPr>
          <w:t xml:space="preserve">aade </w:t>
        </w:r>
        <w:r>
          <w:rPr>
            <w:rStyle w:val="Hyperlink"/>
            <w:b/>
            <w:bCs/>
            <w:color w:val="0000EE"/>
            <w:u w:color="0000EE"/>
            <w:lang w:val="el" w:eastAsia="el"/>
          </w:rPr>
          <w:t xml:space="preserve">. </w:t>
        </w:r>
        <w:r>
          <w:rPr>
            <w:rStyle w:val="Hyperlink"/>
            <w:b/>
            <w:bCs/>
            <w:color w:val="0000EE"/>
            <w:u w:color="0000EE"/>
            <w:lang w:val="el" w:eastAsia="el"/>
          </w:rPr>
          <w:t>gr</w:t>
        </w:r>
      </w:hyperlink>
    </w:p>
    <w:p>
      <w:pPr>
        <w:pStyle w:val="enacting"/>
        <w:spacing w:before="120" w:after="0"/>
        <w:rPr>
          <w:lang w:val="el" w:eastAsia="el"/>
        </w:rPr>
      </w:pPr>
      <w:r>
        <w:rPr>
          <w:b/>
          <w:bCs/>
          <w:lang w:val="el" w:eastAsia="el"/>
        </w:rPr>
        <w:t>ΠΡΟΣ: Ως Π.Δ.</w:t>
      </w:r>
    </w:p>
    <w:p>
      <w:pPr>
        <w:pStyle w:val="PreambelText"/>
        <w:spacing w:before="240" w:after="240"/>
        <w:rPr>
          <w:lang w:val="el" w:eastAsia="el"/>
        </w:rPr>
      </w:pPr>
      <w:r>
        <w:rPr>
          <w:b/>
          <w:bCs/>
          <w:lang w:val="el" w:eastAsia="el"/>
        </w:rPr>
        <w:t>Θέμα: «Τροποποίηση της υπό στοιχεία ΠΟΛ.1068/24.03.2015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(Β΄497)</w:t>
      </w:r>
    </w:p>
    <w:p>
      <w:pPr>
        <w:pStyle w:val="enacting"/>
        <w:spacing w:before="120" w:after="0"/>
        <w:rPr>
          <w:lang w:val="el" w:eastAsia="el"/>
        </w:rPr>
      </w:pPr>
      <w:r>
        <w:rPr>
          <w:b/>
          <w:bCs/>
          <w:lang w:val="el" w:eastAsia="el"/>
        </w:rPr>
        <w:t>ΑΠΟΦΑΣΗΟ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παρ. 9 και 40 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άρθ.7, της παρ. 1 του άρθρου 14 και του άρθ.41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ΠΟΛ.1068/24.3.2015 απόφασης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 497).</w:t>
      </w:r>
    </w:p>
    <w:p>
      <w:pPr>
        <w:pStyle w:val="PreambelText"/>
        <w:spacing w:before="240" w:after="240"/>
        <w:rPr>
          <w:lang w:val="el" w:eastAsia="el"/>
        </w:rPr>
      </w:pPr>
      <w:r>
        <w:rPr>
          <w:lang w:val="el" w:eastAsia="el"/>
        </w:rPr>
        <w:t xml:space="preserve">3. </w:t>
      </w:r>
      <w:r>
        <w:rPr>
          <w:b/>
          <w:bCs/>
          <w:lang w:val="el" w:eastAsia="el"/>
        </w:rPr>
        <w:t>Την υπ΄αρ.1/20.1.2016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υπ΄αρ. 39/3/30.11.2017 (Υ.Ο.Δ.Δ. 689) απόφαση του Συμβουλίου Διοίκησης της ΑΑΔΕ και την υπό στοιχεία 5294ΕΞ2020/17.01.2020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4. </w:t>
      </w:r>
      <w:r>
        <w:rPr>
          <w:b/>
          <w:bCs/>
          <w:lang w:val="el" w:eastAsia="el"/>
        </w:rPr>
        <w:t>Την ανάγκη τροποποίησης του ελάχιστου αριθμού εισαγωγών/κατασκευαστών Φ.Η.Μ. για την ολοκλήρωση έγκρισης λήψης αδειών καταλληλότητας Φ.Η.Μ. με σκοπό την έγκαιρη ανταπόκριση της χώρας στις απαιτήσεις του Σχεδίου Ανάπτυξης και Ανθεκτικότητας που αποτελεί κρίσιμο βραχίονα του ψηφιακού μετασχηματισμού της ΑΑΔΕ καθώς και τον εξορθολογισμό του τρόπου επιβεβαίωσης της διαπίστωσης παραβάσεων-παραβιάσεων ΦΗΜ.</w:t>
      </w:r>
    </w:p>
    <w:p>
      <w:pPr>
        <w:pStyle w:val="PreambelText"/>
        <w:spacing w:before="240" w:after="240"/>
        <w:rPr>
          <w:lang w:val="el" w:eastAsia="el"/>
        </w:rPr>
      </w:pPr>
      <w:r>
        <w:rPr>
          <w:lang w:val="el" w:eastAsia="el"/>
        </w:rPr>
        <w:t xml:space="preserve">5. </w:t>
      </w:r>
      <w:r>
        <w:rPr>
          <w:b/>
          <w:bCs/>
          <w:lang w:val="el" w:eastAsia="el"/>
        </w:rPr>
        <w:t>Το γεγονός ότι η απόφαση αυτή, δεν προκαλεί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Τροποποιείται η υπό στοιχεία ΠΟΛ.1068/24.03.2015 απόφαση της Γενικής Γραμματέως Δημοσίων Εσόδων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 (Β’ 497),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 2.4 του άρθρου 2 καταργείται.</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11 αντικαθίσταται ως εξής:</w:t>
      </w:r>
    </w:p>
    <w:p>
      <w:pPr>
        <w:spacing w:before="240" w:after="240"/>
        <w:rPr>
          <w:lang w:val="el" w:eastAsia="el"/>
        </w:rPr>
      </w:pPr>
      <w:r>
        <w:rPr>
          <w:b/>
          <w:bCs/>
          <w:lang w:val="el" w:eastAsia="el"/>
        </w:rPr>
        <w:t>«Παραβιάσεις</w:t>
      </w:r>
    </w:p>
    <w:p>
      <w:pPr>
        <w:spacing w:before="240" w:after="240"/>
        <w:rPr>
          <w:lang w:val="el" w:eastAsia="el"/>
        </w:rPr>
      </w:pPr>
      <w:r>
        <w:rPr>
          <w:lang w:val="el" w:eastAsia="el"/>
        </w:rPr>
        <w:t xml:space="preserve">11.1 </w:t>
      </w:r>
      <w:r>
        <w:rPr>
          <w:b/>
          <w:bCs/>
          <w:lang w:val="el" w:eastAsia="el"/>
        </w:rPr>
        <w:t>Παραβιάσεις ΦΗΜ που εντοπίζονται από αρμόδια ελεγκτικά όργανα ή καταγγελίες σχετικά με το υλικό (hardware) του ΦΗΜ αναφέρονται στο Τμήμα Ε' -Συστημάτων Ηλεκτρονικών Εμπορικών Συναλλαγών και Λοιπών Συστημάτων της Διεύθυνσης Διαχείρισης Υποδομών. Το Τμήμα Ε', κατόπιν αξιολόγησης παραπέμπει το θέμα στην Επιτροπή η οποία κατά την κρίση της συντάσσει έκθεση για την επιβεβαίωση ή όχι της παραβίασης.».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w:t>
      </w:r>
      <w:r>
        <w:rPr>
          <w:b/>
          <w:bCs/>
          <w:u w:val="single"/>
          <w:lang w:val="el" w:eastAsia="el"/>
        </w:rPr>
        <w:t>ΑΠΟΔΕΚΤΕΣ ΓΙΑ ΕΝΕΡΓΕΙΑ</w:t>
      </w:r>
    </w:p>
    <w:p>
      <w:pPr>
        <w:spacing w:before="240" w:after="240"/>
        <w:rPr>
          <w:lang w:val="el" w:eastAsia="el"/>
        </w:rPr>
      </w:pPr>
      <w:r>
        <w:rPr>
          <w:lang w:val="el" w:eastAsia="el"/>
        </w:rPr>
        <w:t xml:space="preserve">1. </w:t>
      </w:r>
      <w:r>
        <w:rPr>
          <w:b/>
          <w:bCs/>
          <w:lang w:val="el" w:eastAsia="el"/>
        </w:rPr>
        <w:t>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 xml:space="preserve">2. </w:t>
      </w:r>
      <w:r>
        <w:rPr>
          <w:b/>
          <w:bCs/>
          <w:lang w:val="el" w:eastAsia="el"/>
        </w:rPr>
        <w:t>Αποδέκτες πίνακα Β΄, Γ΄</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της Α.Α.Δ.Ε. και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Οικονομίας και Οικονομικών</w:t>
      </w:r>
    </w:p>
    <w:p>
      <w:pPr>
        <w:spacing w:before="240" w:after="240"/>
        <w:rPr>
          <w:lang w:val="el" w:eastAsia="el"/>
        </w:rPr>
      </w:pPr>
      <w:r>
        <w:rPr>
          <w:lang w:val="el" w:eastAsia="el"/>
        </w:rPr>
        <w:t xml:space="preserve">3. </w:t>
      </w:r>
      <w:r>
        <w:rPr>
          <w:b/>
          <w:bCs/>
          <w:lang w:val="el" w:eastAsia="el"/>
        </w:rPr>
        <w:t>Γραφείο 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Σύνδεσμος Εισαγωγέων και Κατασκευαστών Ταμειακών Συστημάτων (Σ.Ε.Κ.Τ.)</w:t>
      </w:r>
    </w:p>
    <w:p>
      <w:pPr>
        <w:spacing w:before="240" w:after="240"/>
        <w:rPr>
          <w:lang w:val="el" w:eastAsia="el"/>
        </w:rPr>
      </w:pPr>
      <w:r>
        <w:rPr>
          <w:lang w:val="el" w:eastAsia="el"/>
        </w:rPr>
        <w:t xml:space="preserve">5. </w:t>
      </w:r>
      <w:r>
        <w:rPr>
          <w:b/>
          <w:bCs/>
          <w:lang w:val="el" w:eastAsia="el"/>
        </w:rPr>
        <w:t>Αποδέκτες Πίνακα Ζ, Η, ΙΑ (εκτός από τα υποθηκοφυλάκεια), ΙΒ΄, ΙΣΤ΄</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 Διεύθυνση Νομικής υποστήριξης</w:t>
      </w:r>
    </w:p>
    <w:p>
      <w:pPr>
        <w:spacing w:before="240" w:after="240"/>
        <w:rPr>
          <w:lang w:val="el" w:eastAsia="el"/>
        </w:rPr>
      </w:pPr>
      <w:r>
        <w:rPr>
          <w:lang w:val="el" w:eastAsia="el"/>
        </w:rPr>
        <w:t xml:space="preserve">6. </w:t>
      </w:r>
      <w:r>
        <w:rPr>
          <w:b/>
          <w:bCs/>
          <w:lang w:val="el" w:eastAsia="el"/>
        </w:rPr>
        <w:t>Δ/νση Διαχείρισης Υποδομών – Τμήμα Ε΄</w:t>
      </w:r>
    </w:p>
    <w:p>
      <w:pPr>
        <w:spacing w:before="240" w:after="240"/>
        <w:rPr>
          <w:lang w:val="el" w:eastAsia="el"/>
        </w:rPr>
      </w:pPr>
      <w:r>
        <w:rPr>
          <w:lang w:val="el" w:eastAsia="el"/>
        </w:rPr>
        <w:t xml:space="preserve">7. </w:t>
      </w:r>
      <w:r>
        <w:rPr>
          <w:b/>
          <w:bCs/>
          <w:lang w:val="el" w:eastAsia="el"/>
        </w:rPr>
        <w:t>Διεύθυνση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eldi0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