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ΑΔΑ: 6ΑΤΛ46ΜΠ3Ζ-Ν25</w:t>
      </w:r>
    </w:p>
    <w:p>
      <w:pPr>
        <w:pStyle w:val="PreambelText"/>
        <w:spacing w:before="240" w:after="240"/>
        <w:rPr>
          <w:lang w:val="el" w:eastAsia="el"/>
        </w:rPr>
      </w:pPr>
      <w:r>
        <w:rPr>
          <w:b/>
          <w:bCs/>
          <w:lang w:val="el" w:eastAsia="el"/>
        </w:rPr>
        <w:t>Αριθ. ΦΕΚ: 2668 Β΄/2.5.2024</w:t>
      </w:r>
    </w:p>
    <w:p>
      <w:pPr>
        <w:pStyle w:val="PreambelText"/>
        <w:spacing w:before="240" w:after="240"/>
        <w:rPr>
          <w:lang w:val="el" w:eastAsia="el"/>
        </w:rPr>
      </w:pPr>
      <w:r>
        <w:rPr>
          <w:b/>
          <w:bCs/>
          <w:lang w:val="el" w:eastAsia="el"/>
        </w:rPr>
        <w:t>Διόρθωση Σφάλματος</w:t>
      </w:r>
    </w:p>
    <w:p>
      <w:pPr>
        <w:pStyle w:val="PreambelText"/>
        <w:spacing w:before="240" w:after="240"/>
        <w:rPr>
          <w:lang w:val="el" w:eastAsia="el"/>
        </w:rPr>
      </w:pPr>
      <w:r>
        <w:rPr>
          <w:b/>
          <w:bCs/>
          <w:lang w:val="el" w:eastAsia="el"/>
        </w:rPr>
        <w:t>Β΄2906/23.5.2024</w:t>
      </w:r>
    </w:p>
    <w:p>
      <w:pPr>
        <w:pStyle w:val="PreambelText"/>
        <w:spacing w:before="240" w:after="240"/>
        <w:rPr>
          <w:lang w:val="el" w:eastAsia="el"/>
        </w:rPr>
      </w:pPr>
      <w:r>
        <w:rPr>
          <w:b/>
          <w:bCs/>
          <w:lang w:val="el" w:eastAsia="el"/>
        </w:rPr>
        <w:t>Αθήνα, 2 Μαΐου 2024</w:t>
      </w:r>
    </w:p>
    <w:p>
      <w:pPr>
        <w:pStyle w:val="PreambelText"/>
        <w:spacing w:before="240" w:after="240"/>
        <w:rPr>
          <w:lang w:val="el" w:eastAsia="el"/>
        </w:rPr>
      </w:pPr>
      <w:r>
        <w:rPr>
          <w:b/>
          <w:bCs/>
          <w:lang w:val="el" w:eastAsia="el"/>
        </w:rPr>
        <w:t>Α.1074</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ΔΙΑΧEIΡΙΣΗΣ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Θέμα: Τροποποίηση της υπό στοιχεία Α.1155/9.10.2023 απόφασης του Διοικητή της Ανεξάρτητης Αρχής Δημοσίων Εσόδων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–Διόρθωση σφάλματος Β’ 6514) - Ορισμός εναλλακτικών τρόπων διασύνδεσης με Μέσα Πληρωμών στην περίπτωση που ο ΦΗΜ συνεργάζεται με εμπορικό/λογιστικό Πρόγραμμα (ERP).</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α και β της παρ. 17 του άρθρου 83 και του άρθρου 17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Α.1098/13.07.2022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Α.1138/12.06.2020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Α.1155/09.10.2023 απόφασης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(Β΄5992- Διόρθωση σφάλματος Β΄6514).</w:t>
      </w:r>
    </w:p>
    <w:p>
      <w:pPr>
        <w:spacing w:before="240" w:after="240"/>
        <w:rPr>
          <w:lang w:val="el" w:eastAsia="el"/>
        </w:rPr>
      </w:pPr>
      <w:r>
        <w:rPr>
          <w:lang w:val="el" w:eastAsia="el"/>
        </w:rPr>
        <w:t xml:space="preserve">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4.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διασύνδεσης των Μέσων Πληρωμών με τα Ταμειακά Συστήματα, τους Παρόχους Υπηρεσιών Πληρωμών και την ΑΑΔΕ, με σκοπό τη διασφάλιση της έκδοσης παραστατικών σε συναλλαγές που διενεργούνται με τη χρήση Μέσων Πληρωμών και την περιστολή της φοροδιαφυγής.</w:t>
      </w:r>
    </w:p>
    <w:p>
      <w:pPr>
        <w:spacing w:before="240" w:after="240"/>
        <w:rPr>
          <w:lang w:val="el" w:eastAsia="el"/>
        </w:rPr>
      </w:pPr>
      <w:r>
        <w:rPr>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Α.1155/9.10.2023 απόφαση του Διοικητή της ΑΑΔΕ και ορίζουμε εναλλακτικούς τρόπους διασύνδεσης σε περίπτωση συνεργασίας ΦΗΜ με εμπορικό/ λογιστικό πρόγραμμα διαχείρισης (ERP).</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της υπό στοιχεία Α. 1155/9.10.2023 απόφασης του Διοικητή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παρ. 3 και 4 του άρθρου 2 αντικαθίστανται ως εξής:</w:t>
      </w:r>
    </w:p>
    <w:p>
      <w:pPr>
        <w:spacing w:before="240" w:after="240"/>
        <w:rPr>
          <w:lang w:val="el" w:eastAsia="el"/>
        </w:rPr>
      </w:pPr>
      <w:r>
        <w:rPr>
          <w:b/>
          <w:bCs/>
          <w:lang w:val="el" w:eastAsia="el"/>
        </w:rPr>
        <w:t>«3. Σε περίπτωση Ταμειακού Συστήματος ΦΗΜ με σύστημα λογισμικού (ERP), ο Χρήστης υπηρεσιών πληρωμών οφείλει να διασφαλίζει τη συμμόρφωσή του είτε στα οριζόμενα στην παρούσα είτε στα οριζόμενα στην υπό στοιχεία Α.1098/2022 απόφαση του Διοικητή της ΑΑΔΕ. Επιπλέον, σε περίπτωση παραστατικών χονδρικής, το Ταμειακό Σύστημα διαβιβάζει αναλυτικά δεδομένα πληρωμών στην ψηφιακή πλατφόρμα myDATA σε συνδυασμό με το εκδοθέν παραστατικό, όπως ορίζεται στην υπό στοιχεία Α.1138/2020 κοινή απόφαση του Υφυπουργού Οικονομικών και του Διοικητή της ΑΑΔΕ με τον τρόπο που καθορίζεται στο παράρτημα Α της παρούσας.</w:t>
      </w:r>
    </w:p>
    <w:p>
      <w:pPr>
        <w:spacing w:before="240" w:after="240"/>
        <w:rPr>
          <w:lang w:val="el" w:eastAsia="el"/>
        </w:rPr>
      </w:pPr>
      <w:r>
        <w:rPr>
          <w:lang w:val="el" w:eastAsia="el"/>
        </w:rPr>
        <w:t xml:space="preserve">4. </w:t>
      </w:r>
      <w:r>
        <w:rPr>
          <w:b/>
          <w:bCs/>
          <w:lang w:val="el" w:eastAsia="el"/>
        </w:rPr>
        <w:t>Συναλλαγές οντοτήτων που εμπίπτουν στις διατάξεις της υπό στοιχεία</w:t>
      </w:r>
      <w:r>
        <w:rPr>
          <w:rStyle w:val="link"/>
          <w:b/>
          <w:bCs/>
          <w:lang w:val="el" w:eastAsia="el"/>
        </w:rPr>
        <w:t xml:space="preserve"> ΠΟΛ.1002/2014 </w:t>
      </w:r>
      <w:r>
        <w:rPr>
          <w:b/>
          <w:bCs/>
          <w:lang w:val="el" w:eastAsia="el"/>
        </w:rPr>
        <w:t>(Β’ 3/2015) απόφασης της ΓΓΔΕ και εξαιρούνται από την υποχρεωτική χρήση ΦΗΜ, καταλαμβάνονται από τα οριζόμενα στην παρούσα, εφόσον οι ως άνω οντότητες κάνουν χρήση ΦΗΜ με την επιφύλαξη του τελευταίου εδαφίου της παρ. 5.»</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2 προστίθεται παρ. 5 ως εξής:</w:t>
      </w:r>
    </w:p>
    <w:p>
      <w:pPr>
        <w:spacing w:before="240" w:after="240"/>
        <w:rPr>
          <w:lang w:val="el" w:eastAsia="el"/>
        </w:rPr>
      </w:pPr>
      <w:r>
        <w:rPr>
          <w:b/>
          <w:bCs/>
          <w:lang w:val="el" w:eastAsia="el"/>
        </w:rPr>
        <w:t>«5. Στο πεδίο εφαρμογής των διατάξεων της παρούσας, δεν εμπίπτουν οι συναλλαγές οντοτήτων που αφορούν εξ αποστάσεως πωλήσεις αγαθών και υπηρεσιών (e- commerce/marketplaces) και στις οποίες γίνεται χρήση μέσων πληρωμών χωρίς φυσική παρουσία κάρτας (e-POS). Επίσης, δεν εμπίπτουν οι συναλλαγές οντοτήτων που γίνονται με τη χρήση μέσων πληρωμών που πραγματοποιούνται με αυτόματα τερματικά πληρωμής (unattended POS), εφόσον οι οντότητες δεν υπέχουν υποχρέωση χρήσης ΦΗΜ για τις συναλλαγές αυτές αλλά κάνουν προαιρετική χρήση ΦΗΜ ή Παρόχου Υπηρεσιών Ηλεκτρονικής Έκδοσης Στοιχείων.».</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πρώτο εδάφιο της περ. γ΄ της παρ. 1 του άρθρου 3 διαγράφεται η λέξη «προεγκρίσεων» και το εν λόγω εδάφιο διαμορφώνεται ως εξής:</w:t>
      </w:r>
    </w:p>
    <w:p>
      <w:pPr>
        <w:spacing w:before="240" w:after="240"/>
        <w:rPr>
          <w:lang w:val="el" w:eastAsia="el"/>
        </w:rPr>
      </w:pPr>
      <w:r>
        <w:rPr>
          <w:b/>
          <w:bCs/>
          <w:lang w:val="el" w:eastAsia="el"/>
        </w:rPr>
        <w:t>«Ταυτόχρονες συναλλαγές προεισπράξεων, προκαταβολών, κατά τις οποίες η έκδοση αποδείξεων είσπραξης ή η δημιουργία κατάλληλων λογιστικών αρχείων που αντιστοιχούν σε αυτές, διενεργούνται στον ίδιο χρόνο με την πληρωμή 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6 του άρθρου 7 αντικαθίσταται ως εξής:</w:t>
      </w:r>
    </w:p>
    <w:p>
      <w:pPr>
        <w:spacing w:before="240" w:after="240"/>
        <w:rPr>
          <w:lang w:val="el" w:eastAsia="el"/>
        </w:rPr>
      </w:pPr>
      <w:r>
        <w:rPr>
          <w:b/>
          <w:bCs/>
          <w:lang w:val="el" w:eastAsia="el"/>
        </w:rPr>
        <w:t>«6. Εξαιρετικά, οι συναλλαγές της περ. β' της παρ. 1 του άρθρου 24 του Κώδικα Φ.Π.Α. (Tax Free) που διενεργούνται από οντότητα που κάνει χρήση ΦΗΜ ή Παρόχου Υπηρεσιών Ηλεκτρονικής Έκδοσης Στοιχείων καταλαμβάνονται από τα οριζόμενα στην παρούσα. Σε περίπτωση που πρόκειται να εκδοθεί παραστατικό χωρίς χρήση ΦΗΜ με πληρωμή από κάρτα, εκτελείται συναλλαγή προείσπραξης σύμφωνα με τα οριζόμενα της περ. γ΄ της παρ. 1 του άρθρου 3 της παρούσας με την ένδειξη «Συναλλαγές Tax Free».».</w:t>
      </w:r>
    </w:p>
    <w:p>
      <w:pPr>
        <w:pStyle w:val="MainText"/>
        <w:spacing w:before="120" w:after="0"/>
        <w:rPr>
          <w:lang w:val="el" w:eastAsia="el"/>
        </w:rPr>
      </w:pPr>
      <w:r>
        <w:rPr>
          <w:b/>
          <w:bCs/>
          <w:lang w:val="el" w:eastAsia="el"/>
        </w:rPr>
        <w:t>5.</w:t>
      </w:r>
      <w:r>
        <w:rPr>
          <w:lang w:val="el" w:eastAsia="el"/>
        </w:rPr>
        <w:t xml:space="preserve"> </w:t>
      </w:r>
      <w:r>
        <w:rPr>
          <w:b/>
          <w:bCs/>
          <w:lang w:val="el" w:eastAsia="el"/>
        </w:rPr>
        <w:t>Στο άρθρο 7 προστίθενται παρ. 12 ως εξής:</w:t>
      </w:r>
    </w:p>
    <w:p>
      <w:pPr>
        <w:spacing w:before="240" w:after="240"/>
        <w:rPr>
          <w:lang w:val="el" w:eastAsia="el"/>
        </w:rPr>
      </w:pPr>
      <w:r>
        <w:rPr>
          <w:b/>
          <w:bCs/>
          <w:lang w:val="el" w:eastAsia="el"/>
        </w:rPr>
        <w:t>«12. Οι συναλλαγές που αφορούν αποδοχή πληρωμών λογαριασμών οντοτήτων, οι οποίες παρέχουν υπηρεσίες πώλησης ηλεκτρικής ενέργειας και φυσικού αερίου, ύδατος μη ιαματικού, τηλεπικοινωνιακών υπηρεσιών και συνδρομητικής τηλεόρασης και διενεργούνται με Μέσα Πληρωμών (τερματικά εξόφλησης λογαριασμών) σε εγκαταστάσεις τρίτων οντοτήτων, οι οποίες ωστόσο δεν σχετίζονται με τις εν λόγω συναλλαγές (bill payments), καθώς και οι συναλλαγές με κάρτα που ολοκληρώνονται κατόπιν αιτήματος πληρωμής μέσω ειδικού συνδέσμου (payment link), δεν καταλαμβάνονται από τα διαλαμβανόμενα της παρούσας.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Ορισμός εναλλακτικών τρόπων διασύνδεσης σε περίπτωση συνεργασίας του ΦΗΜ με εμπορικό/λογιστικό πρόγραμμα διαχείρισης (ERP).</w:t>
      </w:r>
    </w:p>
    <w:p>
      <w:pPr>
        <w:spacing w:before="240" w:after="240"/>
        <w:rPr>
          <w:lang w:val="el" w:eastAsia="el"/>
        </w:rPr>
      </w:pPr>
      <w:r>
        <w:rPr>
          <w:b/>
          <w:bCs/>
          <w:lang w:val="el" w:eastAsia="el"/>
        </w:rPr>
        <w:t>Από την έναρξη ισχύος της παρούσας, κάθε αναφορά σε Απόφαση του Διοικητή ΑΑΔΕ περί υποχρέωσης αποκλειστικής διασύνδεσης με τα οριζόμενα στην υπό στοιχεία A.1155/2023 Απόφαση Διοικητή ΑΑΔΕ, σε περίπτωση που ο ΦΗΜ συνεργάζεται με Εμπορικό/Λογιστικό Πρόγραμμα Διαχείρισης (ERP) παύει να ισχύει και παρέχεται δυνατότητα εναλλακτικής διασύνδεσης σύμφωνα με τα οριζόμενα στην Α. 1098/2022. Τα οριζόμενα στο παρόν ισχύουν και για τυχόν διασυνδέσεις που έχουν ήδη λάβει χώρα.</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Ισχύς της Απόφασης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