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ΨΤΧΤ46ΜΠ3Ζ-ΓΣ6</w:t>
      </w:r>
    </w:p>
    <w:p>
      <w:pPr>
        <w:pStyle w:val="Title"/>
        <w:spacing w:before="120" w:after="360"/>
        <w:rPr>
          <w:lang w:val="el" w:eastAsia="el"/>
        </w:rPr>
      </w:pPr>
      <w:r>
        <w:rPr>
          <w:b/>
          <w:bCs/>
          <w:lang w:val="el" w:eastAsia="el"/>
        </w:rPr>
        <w:t>ΑΡΙΘ. ΦΕΚ: Β’ 2872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17 Μαΐου 2024</w:t>
      </w:r>
    </w:p>
    <w:p>
      <w:pPr>
        <w:pStyle w:val="PreambelText"/>
        <w:spacing w:before="240" w:after="240"/>
        <w:rPr>
          <w:lang w:val="el" w:eastAsia="el"/>
        </w:rPr>
      </w:pPr>
      <w:r>
        <w:rPr>
          <w:b/>
          <w:bCs/>
          <w:lang w:val="el" w:eastAsia="el"/>
        </w:rPr>
        <w:t>Αρ. Πρωτ.: Α.1080</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Ταχ. Δ/νση Ταχ. Κώδικας Τηλέφωνο E-Mail</w:t>
      </w:r>
    </w:p>
    <w:p>
      <w:pPr>
        <w:spacing w:before="240" w:after="240"/>
        <w:rPr>
          <w:lang w:val="el" w:eastAsia="el"/>
        </w:rPr>
      </w:pPr>
      <w:r>
        <w:rPr>
          <w:b/>
          <w:bCs/>
          <w:lang w:val="el" w:eastAsia="el"/>
        </w:rPr>
        <w:t xml:space="preserve">Καρ. Σερβίας 10 101 84 Αθήνα 210 3375192/454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II. ΓΕΝ. ΔΙΕΥΘΥΝΣΗ ΗΛΕΚΤΡΟΝΙΚΗΣ ΔΙΑΚΥΒΕΡΝΗ-</w:t>
      </w:r>
    </w:p>
    <w:p>
      <w:pPr>
        <w:spacing w:before="240" w:after="240"/>
        <w:rPr>
          <w:lang w:val="el" w:eastAsia="el"/>
        </w:rPr>
      </w:pPr>
      <w:r>
        <w:rPr>
          <w:b/>
          <w:bCs/>
          <w:lang w:val="el" w:eastAsia="el"/>
        </w:rPr>
        <w:t>ΣΗΣ</w:t>
      </w:r>
    </w:p>
    <w:p>
      <w:pPr>
        <w:spacing w:before="240" w:after="240"/>
        <w:rPr>
          <w:lang w:val="el" w:eastAsia="el"/>
        </w:rPr>
      </w:pPr>
      <w:r>
        <w:rPr>
          <w:b/>
          <w:bCs/>
          <w:lang w:val="el" w:eastAsia="el"/>
        </w:rPr>
        <w:t>1. ΔΙΕΥΘΥΝΣΗ ΕΠΙΧΕΙΡΗΣΙΑΚΩΝ ΔΙΑΔΙΚΑΣΙΩΝ ΥΠΟΔΙΕΥΘΥΝΣΗ Α΄ ΑΠΑΙΤΗΣΕΩΝ ΚΑΙ ΕΛΕΓΧΟΥ</w:t>
      </w:r>
    </w:p>
    <w:p>
      <w:pPr>
        <w:spacing w:before="240" w:after="240"/>
        <w:rPr>
          <w:lang w:val="el" w:eastAsia="el"/>
        </w:rPr>
      </w:pPr>
      <w:r>
        <w:rPr>
          <w:b/>
          <w:bCs/>
          <w:lang w:val="el" w:eastAsia="el"/>
        </w:rPr>
        <w:t>ΕΦΑΡΜΟΓΩΝ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Ταχ. Δ/νση Ταχ. Κώδικας Τηλέφωνο E-Mail</w:t>
      </w:r>
    </w:p>
    <w:p>
      <w:pPr>
        <w:spacing w:before="240" w:after="240"/>
        <w:rPr>
          <w:lang w:val="el" w:eastAsia="el"/>
        </w:rPr>
      </w:pPr>
      <w:r>
        <w:rPr>
          <w:b/>
          <w:bCs/>
          <w:lang w:val="el" w:eastAsia="el"/>
        </w:rPr>
        <w:t>Πειραιώς 72 &amp; Πύργου 183 46 – Μοσχάτο 213-1356610</w:t>
      </w:r>
    </w:p>
    <w:p>
      <w:pPr>
        <w:spacing w:before="240" w:after="240"/>
        <w:rPr>
          <w:lang w:val="el" w:eastAsia="el"/>
        </w:rPr>
      </w:pPr>
      <w:hyperlink r:id="rId5" w:history="1">
        <w:r>
          <w:rPr>
            <w:rStyle w:val="Hyperlink"/>
            <w:b/>
            <w:bCs/>
            <w:color w:val="0000EE"/>
            <w:u w:color="0000EE"/>
            <w:lang w:val="el" w:eastAsia="el"/>
          </w:rPr>
          <w:t>diepidi@aade.gr</w:t>
        </w:r>
      </w:hyperlink>
    </w:p>
    <w:p>
      <w:pPr>
        <w:spacing w:before="240" w:after="240"/>
        <w:rPr>
          <w:lang w:val="el" w:eastAsia="el"/>
        </w:rPr>
      </w:pPr>
      <w:r>
        <w:rPr>
          <w:b/>
          <w:bCs/>
          <w:lang w:val="el" w:eastAsia="el"/>
        </w:rPr>
        <w:t>2. 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Ταχ. Δ/νση Ταχ. Κώδικας</w:t>
      </w:r>
    </w:p>
    <w:p>
      <w:pPr>
        <w:spacing w:before="240" w:after="240"/>
        <w:rPr>
          <w:lang w:val="el" w:eastAsia="el"/>
        </w:rPr>
      </w:pPr>
      <w:r>
        <w:rPr>
          <w:b/>
          <w:bCs/>
          <w:lang w:val="el" w:eastAsia="el"/>
        </w:rPr>
        <w:t>Τηλέφωνο E-Mail</w:t>
      </w:r>
    </w:p>
    <w:p>
      <w:pPr>
        <w:spacing w:before="240" w:after="240"/>
        <w:rPr>
          <w:lang w:val="el" w:eastAsia="el"/>
        </w:rPr>
      </w:pPr>
      <w:r>
        <w:rPr>
          <w:b/>
          <w:bCs/>
          <w:lang w:val="el" w:eastAsia="el"/>
        </w:rPr>
        <w:t xml:space="preserve">Πειραιώς 72 &amp; Πύργου 183 46 – Μοσχάτο 213-1356210 </w:t>
      </w:r>
      <w:hyperlink r:id="rId6" w:history="1">
        <w:r>
          <w:rPr>
            <w:rStyle w:val="Hyperlink"/>
            <w:b/>
            <w:bCs/>
            <w:color w:val="0000EE"/>
            <w:u w:color="0000EE"/>
            <w:lang w:val="el" w:eastAsia="el"/>
          </w:rPr>
          <w:t>dafe@aade.gr</w:t>
        </w:r>
      </w:hyperlink>
    </w:p>
    <w:p>
      <w:pPr>
        <w:spacing w:before="240" w:after="240"/>
        <w:rPr>
          <w:lang w:val="el" w:eastAsia="el"/>
        </w:rPr>
      </w:pPr>
      <w:r>
        <w:rPr>
          <w:b/>
          <w:bCs/>
          <w:lang w:val="el" w:eastAsia="el"/>
        </w:rPr>
        <w:t>ΘΕΜΑ: Καθορισμός των αναγκαίων λεπτομερειών για την οίκοθεν έκδοση πράξης προσδιορισμού φόρου εισοδήματος φυσικών προσώπων με βάση φορολογική δήλωση που έχει προσυμπληρωθεί αυτοματοποιημένα με όλα τα στοιχεία που διαθέτει η Φορολογική Διοίκηση, κατ’ εφαρμογή των διατάξεων των δύο τελευταίων εδαφίων της παρ. 4 του άρθρου 36 του ν. 5104/2024 (Α΄58).</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5104/2024 «Κώδικας Φορολογικής Διαδικασίας και άλλες διατάξεις» (Α΄58) (εφεξής ΚΦΔ) και ιδίως της περ. β) της παρ. 37 του άρθρου 83 αυτού,</w:t>
      </w:r>
    </w:p>
    <w:p>
      <w:pPr>
        <w:pStyle w:val="StructureList1"/>
        <w:spacing w:before="120" w:after="0"/>
        <w:rPr>
          <w:lang w:val="el" w:eastAsia="el"/>
        </w:rPr>
      </w:pPr>
      <w:r>
        <w:rPr>
          <w:lang w:val="el" w:eastAsia="el"/>
        </w:rPr>
        <w:t>β)</w:t>
      </w:r>
      <w:r>
        <w:rPr>
          <w:lang w:val="en" w:eastAsia="en"/>
        </w:rPr>
        <w:tab/>
      </w:r>
      <w:r>
        <w:rPr>
          <w:b/>
          <w:bCs/>
          <w:lang w:val="el" w:eastAsia="el"/>
        </w:rPr>
        <w:t>του ν. 4172/2013 “Φορολογία εισοδήματος, επείγοντα μέτρα εφαρμογής του ν. 4046/2012, του ν. 4093/2012 και του ν. 4127/2013 και άλλες διατάξεις» (Α' 167) (εφεξής ΚΦΕ),</w:t>
      </w:r>
    </w:p>
    <w:p>
      <w:pPr>
        <w:pStyle w:val="StructureList1"/>
        <w:spacing w:before="120" w:after="0"/>
        <w:rPr>
          <w:lang w:val="el" w:eastAsia="el"/>
        </w:rPr>
      </w:pPr>
      <w:r>
        <w:rPr>
          <w:lang w:val="el" w:eastAsia="el"/>
        </w:rPr>
        <w:t>γ)</w:t>
      </w:r>
      <w:r>
        <w:rPr>
          <w:lang w:val="en" w:eastAsia="en"/>
        </w:rPr>
        <w:tab/>
      </w:r>
      <w:r>
        <w:rPr>
          <w:b/>
          <w:bCs/>
          <w:lang w:val="el" w:eastAsia="el"/>
        </w:rPr>
        <w:t>του άρθρου 31 του ν. 3986/2011 «Επείγοντα μέτρα εφαρμογής μεσοπρόθεσμου πλαισίου Δημοσιονομικής Στρατηγικής 2012-2015» (Α' 152),</w:t>
      </w:r>
    </w:p>
    <w:p>
      <w:pPr>
        <w:pStyle w:val="StructureList1"/>
        <w:spacing w:before="120" w:after="0"/>
        <w:rPr>
          <w:lang w:val="el" w:eastAsia="el"/>
        </w:rPr>
      </w:pPr>
      <w:r>
        <w:rPr>
          <w:lang w:val="el" w:eastAsia="el"/>
        </w:rPr>
        <w:t>δ)</w:t>
      </w:r>
      <w:r>
        <w:rPr>
          <w:lang w:val="en" w:eastAsia="en"/>
        </w:rPr>
        <w:tab/>
      </w:r>
      <w:r>
        <w:rPr>
          <w:b/>
          <w:bCs/>
          <w:lang w:val="el" w:eastAsia="el"/>
        </w:rPr>
        <w:t>του άρθρου 44 του ν. 4111/2013 ¨Συνταξιοδοτικές ρυθμίσεις, τροποποιήσεις του ν. 4093/2012, κύρωση της Πράξης Νομοθετικού Περιεχομένου « Έγκριση των Σχεδίων των Συμβάσεων Τροποποίησης της Κύριας Σύμβασης Χρηματοδοτικής Διευκόλυνσης μεταξύ του Ευρωπαϊκού Ταμείου Χρηματοπιστωτικής Σταθερότητας (Ε.Τ.Χ.Σ.), της Ελληνικής Δημοκρατίας, του Ελληνικού Ταμείου Χρηματοπιστωτικής Σταθερότητας (Τ.Χ.Σ.) και της Τράπεζας της Ελλάδος (ΤτΕ), με τίτλο «Κύρια Σύμβαση Χρηματοδοτικής Διευκόλυνσης», της Σύμβασης Χρηματοδοτικής Διευκόλυνσης μεταξύ του Ε.Τ.Χ.Σ., της Ελληνικής Δημοκρατίας και της ΤτΕ, με τίτλο «Σύμβαση Διευκόλυνσης Διαχείρισης Υποχρεώσεων ΣΙΤ» και της Σύμβασης Χρηματοδοτικής Διευκόλυνσης μεταξύ του Ε.Τ.Χ.Σ., της Ελληνικής Δημοκρατίας και της ΤτΕ, με τίτλο «Διευκόλυνση αποπληρωμής Τόκων Ομολόγων», παροχή εξουσιοδοτήσεων για την υπογραφή των Συμβάσεων» και άλλες επείγουσες διατάξεις» (Α΄18),</w:t>
      </w:r>
    </w:p>
    <w:p>
      <w:pPr>
        <w:pStyle w:val="StructureList1"/>
        <w:spacing w:before="120" w:after="0"/>
        <w:rPr>
          <w:lang w:val="el" w:eastAsia="el"/>
        </w:rPr>
      </w:pPr>
      <w:r>
        <w:rPr>
          <w:lang w:val="el" w:eastAsia="el"/>
        </w:rPr>
        <w:t>ε)</w:t>
      </w:r>
      <w:r>
        <w:rPr>
          <w:lang w:val="en" w:eastAsia="en"/>
        </w:rPr>
        <w:tab/>
      </w:r>
      <w:r>
        <w:rPr>
          <w:b/>
          <w:bCs/>
          <w:lang w:val="el" w:eastAsia="el"/>
        </w:rPr>
        <w:t>των παρ. 1 και 2 του άρθρου 18 του ν. 3522/2006 «Μεταβολές στη φορολογία εισοδήματος, απλουστεύσεις στον Κώδικα Βιβλίων και Στοιχείων και άλλες διατάξεις» (Α΄276),</w:t>
      </w:r>
    </w:p>
    <w:p>
      <w:pPr>
        <w:pStyle w:val="StructureList1"/>
        <w:spacing w:before="120" w:after="0"/>
        <w:rPr>
          <w:lang w:val="el" w:eastAsia="el"/>
        </w:rPr>
      </w:pPr>
      <w:r>
        <w:rPr>
          <w:lang w:val="el" w:eastAsia="el"/>
        </w:rPr>
        <w:t>στ)</w:t>
      </w:r>
      <w:r>
        <w:rPr>
          <w:lang w:val="en" w:eastAsia="en"/>
        </w:rPr>
        <w:tab/>
      </w:r>
      <w:r>
        <w:rPr>
          <w:b/>
          <w:bCs/>
          <w:lang w:val="el" w:eastAsia="el"/>
        </w:rPr>
        <w:t>του Κεφαλαίου Α΄«Σύσταση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Δ.ΟΡΓ.Α 1125859 ΕΞ2020/23.10.2020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και την υπό στοιχεία 5294 ΕΞ2020/17.01.2020 (Υ.Ο.Δ.Δ. 27) απόφαση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3. </w:t>
      </w:r>
      <w:r>
        <w:rPr>
          <w:b/>
          <w:bCs/>
          <w:lang w:val="el" w:eastAsia="el"/>
        </w:rPr>
        <w:t>Την ανάγκη καθορισμού των αναγκαίων λεπτομερειών για την οίκοθεν έκδοση πράξης προσδιορισμού φόρου εισοδήματος, τέλους επιτηδεύματος και φόρου πολυτελούς διαβίωσης φυσικών προσώπων με φορολογική δήλωση που έχει προσυμπληρωθεί αυτοματοποιημένα με βάση όλα τα στοιχεία που διαθέτει η Φορολογική Διοίκηση, κατ’ εφαρμογή των διατάξεων των δύο τελευταίων εδαφίων της παρ. 4 του άρθρου 36 του ΚΦΔ.</w:t>
      </w:r>
    </w:p>
    <w:p>
      <w:pPr>
        <w:spacing w:before="240" w:after="240"/>
        <w:rPr>
          <w:lang w:val="el" w:eastAsia="el"/>
        </w:rPr>
      </w:pPr>
      <w:r>
        <w:rPr>
          <w:lang w:val="el" w:eastAsia="el"/>
        </w:rPr>
        <w:t xml:space="preserve">4. </w:t>
      </w:r>
      <w:r>
        <w:rPr>
          <w:b/>
          <w:bCs/>
          <w:lang w:val="el" w:eastAsia="el"/>
        </w:rPr>
        <w:t>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Σε περίπτωση που ο φόρος εισοδήματος, το τέλος επιτηδεύματος και ο φόρος πολυτελούς διαβίωσης φυσικών προσώπων υπόχρεων σε δήλωση των εισοδημάτων τους, κατά τα οριζόμενα στην παρ. 1 του άρθρου 67 του ΚΦΕ, μπορούν να προσδιορισθούν με βάση τα στοιχεία που έχει στη διάθεσή της η Φορολογική Διοίκηση, ο προσδιορισμός πραγματοποιείται και με βάση προσυμπληρωμένη με τα στοιχεία αυτά δήλωση, που έχει κοινοποιηθεί στον φορολογούμενο. Για τον τύπο και το περιεχόμενο της δήλωσης που προσυμπληρώνεται από τη Φορολογική Διοίκηση, ισχύουν τα οριζόμενα με την απόφαση που εκδίδεται κατ’ εξουσιοδότηση της παρ. 7 του άρθρου 67 του ΚΦΕ για τον τύπο και το περιεχόμενο της δήλωσης φορολογίας εισοδήματος εκάστου φορολογικού έτους.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Προσυμπλήρωση και κοινοποίηση της δήλωσης φορολογίας εισοδήματος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Φορολογική Διοίκηση προσυμπληρώνει τη δήλωση φορολογίας εισοδήματος με βάση στοιχεία που έχουν τυχόν παρασχεθεί από τον φορολογούμενο σε φορολογική δήλωση ή κάθε άλλο στοιχείο που έχει στη διάθεσή της. Σε περίπτωση συζύγων, οι οποίοι δεν έχουν επιλέξει να υποβάλλουν χωριστά δήλωση φορολογίας εισοδήματος σύμφωνα με την περ. β) της παρ. 4 του άρθρου 67 του ΚΦΕ, η Φορολογική Διοίκηση προσυμπλη- ρώνει κοινή δήλωση.</w:t>
      </w:r>
    </w:p>
    <w:p>
      <w:pPr>
        <w:pStyle w:val="MainText"/>
        <w:spacing w:before="120" w:after="0"/>
        <w:rPr>
          <w:lang w:val="el" w:eastAsia="el"/>
        </w:rPr>
      </w:pPr>
      <w:r>
        <w:rPr>
          <w:b/>
          <w:bCs/>
          <w:lang w:val="el" w:eastAsia="el"/>
        </w:rPr>
        <w:t>2.</w:t>
      </w:r>
      <w:r>
        <w:rPr>
          <w:lang w:val="el" w:eastAsia="el"/>
        </w:rPr>
        <w:t xml:space="preserve"> </w:t>
      </w:r>
      <w:r>
        <w:rPr>
          <w:b/>
          <w:bCs/>
          <w:lang w:val="el" w:eastAsia="el"/>
        </w:rPr>
        <w:t>Η Φορολογική Διοίκηση κοινοποιεί ψηφιακά, σύμφωνα με την παρ. 2 του άρθρου 5 του ΚΦΔ, την προσυμπληρωμένη δήλωση, με την ανάρτηση αυτής στην ψηφιακή πύλη myAADE, στην εφαρμογή υποβολής της δήλωσης φορολογίας εισοδήματος φυσικών προσώπων και την αποστολή ηλεκτρονικής ειδοποίησης στους φορολογούμενους στη δηλωθείσα διεύθυνση ηλεκτρονικού ταχυδρομείου τους.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Δυνατότητα του φορολογούμενου να αντιταχθεί στην προσυμπληρωμένη δήλωση</w:t>
      </w:r>
    </w:p>
    <w:p>
      <w:pPr>
        <w:pStyle w:val="MainText"/>
        <w:spacing w:before="120" w:after="0"/>
        <w:rPr>
          <w:lang w:val="el" w:eastAsia="el"/>
        </w:rPr>
      </w:pPr>
      <w:r>
        <w:rPr>
          <w:b/>
          <w:bCs/>
          <w:lang w:val="el" w:eastAsia="el"/>
        </w:rPr>
        <w:t>1.</w:t>
      </w:r>
      <w:r>
        <w:rPr>
          <w:lang w:val="el" w:eastAsia="el"/>
        </w:rPr>
        <w:t xml:space="preserve"> </w:t>
      </w:r>
      <w:r>
        <w:rPr>
          <w:b/>
          <w:bCs/>
          <w:lang w:val="el" w:eastAsia="el"/>
        </w:rPr>
        <w:t>Ο φορολογούμενος οφείλει να ελέγξει το περιεχόμενο της προσυμπληρωμένης δήλωσης φορολογίας εισοδήματος που του κοινοποιήθηκε και σε περίπτωση που τα στοιχεία που περιέχει δεν είναι ακριβή ή είναι ελλιπή, υποχρεούται να υποβάλλει δήλωση με τα ορθά και πλήρη στοιχεία, σύμφωνα με τα οριζόμενα στο άρθρο 67 του ΚΦΕ, εντός των προθεσμιών της παρ. 3 του ίδιου άρθρου.</w:t>
      </w:r>
    </w:p>
    <w:p>
      <w:pPr>
        <w:pStyle w:val="MainText"/>
        <w:spacing w:before="120" w:after="0"/>
        <w:rPr>
          <w:lang w:val="el" w:eastAsia="el"/>
        </w:rPr>
      </w:pPr>
      <w:r>
        <w:rPr>
          <w:b/>
          <w:bCs/>
          <w:lang w:val="el" w:eastAsia="el"/>
        </w:rPr>
        <w:t>2.</w:t>
      </w:r>
      <w:r>
        <w:rPr>
          <w:lang w:val="el" w:eastAsia="el"/>
        </w:rPr>
        <w:t xml:space="preserve"> </w:t>
      </w:r>
      <w:r>
        <w:rPr>
          <w:b/>
          <w:bCs/>
          <w:lang w:val="el" w:eastAsia="el"/>
        </w:rPr>
        <w:t>Ο φορολογούμενος δύναται να υποβάλει ο ίδιος την προσυμπληρωμένη δήλωση φορολογίας εισοδήματος σύμφωνα με τα οριζόμενα στο άρθρο 67 του ΚΦΕ, εντός των προθεσμιών της παρ. 3 του ίδιου άρθρου, ακόμη και εάν δεν διαφωνεί με το περιεχόμενο αυτής.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Οριστικοποίηση προσυμπληρωμένης δήλωσης και οίκοθεν προσδιορισμός του φόρου</w:t>
      </w:r>
    </w:p>
    <w:p>
      <w:pPr>
        <w:pStyle w:val="MainText"/>
        <w:spacing w:before="120" w:after="0"/>
        <w:rPr>
          <w:lang w:val="el" w:eastAsia="el"/>
        </w:rPr>
      </w:pPr>
      <w:r>
        <w:rPr>
          <w:b/>
          <w:bCs/>
          <w:lang w:val="el" w:eastAsia="el"/>
        </w:rPr>
        <w:t>1.</w:t>
      </w:r>
      <w:r>
        <w:rPr>
          <w:lang w:val="el" w:eastAsia="el"/>
        </w:rPr>
        <w:t xml:space="preserve"> </w:t>
      </w:r>
      <w:r>
        <w:rPr>
          <w:b/>
          <w:bCs/>
          <w:lang w:val="el" w:eastAsia="el"/>
        </w:rPr>
        <w:t>Εάν ο φορολογούμενος δεν υποβάλει δήλωση κατά τα οριζόμενα στο άρθρο 3, η Φορολογική Διοίκηση οριστικοποιεί την προσυμπληρωμένη με τα στοιχεία που έχει στη διάθεσή της, δήλωση, άμεσα μετά την παρέλευση των προθεσμιών της παρ. 3 του άρθρου 67 του ΚΦΕ.</w:t>
      </w:r>
    </w:p>
    <w:p>
      <w:pPr>
        <w:pStyle w:val="MainText"/>
        <w:spacing w:before="120" w:after="0"/>
        <w:rPr>
          <w:lang w:val="el" w:eastAsia="el"/>
        </w:rPr>
      </w:pPr>
      <w:r>
        <w:rPr>
          <w:b/>
          <w:bCs/>
          <w:lang w:val="el" w:eastAsia="el"/>
        </w:rPr>
        <w:t>2.</w:t>
      </w:r>
      <w:r>
        <w:rPr>
          <w:lang w:val="el" w:eastAsia="el"/>
        </w:rPr>
        <w:t xml:space="preserve"> </w:t>
      </w:r>
      <w:r>
        <w:rPr>
          <w:b/>
          <w:bCs/>
          <w:lang w:val="el" w:eastAsia="el"/>
        </w:rPr>
        <w:t>Ο φόρος εισοδήματος, το τέλος επιτηδεύματος και ο φόρος πολυτελούς διαβίωσης του οικείου φορολογικού έτους υπολογίζονται με βάση την προσυμπληρωμένη δήλωση που οριστικοποιήθηκε. Για τον καθορισμό της φορολογικής οφειλής εκδίδεται οίκοθεν πράξη διοικητικού προσδιορισμού του φόρου, κατά τα οριζόμενα στην παρ. 6 του άρθρου 67 του ΚΦΕ, η οποία κοινοποιείται στον φορολογούμενο, σύμφωνα με τις διατάξεις του άρθρου 5 του ΚΦΔ.</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τον τύπο και το περιεχόμενο της οίκοθεν πράξης διοικητικού προσδιορισμού φόρου εισοδήματος, τέλους επιτηδεύματος και φόρου πολυτελούς διαβίωσης φυσικών προσώπων με βάση την προσυμπληρωμένη δήλωση ισχύουν τα οριζόμενα για τον τύπο και το περιεχόμενο της πράξης διοικητικού προσδιορισμού φόρου εισοδήματος, τέλους επιτηδεύματος και φόρου πολυτελούς διαβίωσης φυσικών προσώπων του οικείου φορολογικού έτους.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οριστικοποίησης προσυμπληρωμένης κοινής δήλωσης φορολογίας εισοδήματος συζύγων, για τον οίκοθεν προσδιορισμό του φόρου εφαρμόζονται οι διατάξεις που ισχύουν για την κοινή δήλωση που υποβάλλουν οι φορολογούμενοι.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Καταβολή του φόρου</w:t>
      </w:r>
    </w:p>
    <w:p>
      <w:pPr>
        <w:pStyle w:val="MainText"/>
        <w:spacing w:before="120" w:after="0"/>
        <w:rPr>
          <w:lang w:val="el" w:eastAsia="el"/>
        </w:rPr>
      </w:pPr>
      <w:r>
        <w:rPr>
          <w:b/>
          <w:bCs/>
          <w:lang w:val="el" w:eastAsia="el"/>
        </w:rPr>
        <w:t>1.</w:t>
      </w:r>
      <w:r>
        <w:rPr>
          <w:lang w:val="el" w:eastAsia="el"/>
        </w:rPr>
        <w:t xml:space="preserve"> </w:t>
      </w:r>
      <w:r>
        <w:rPr>
          <w:b/>
          <w:bCs/>
          <w:lang w:val="el" w:eastAsia="el"/>
        </w:rPr>
        <w:t>Ο φόρος που προσδιορίζεται κατά τα αναφερόμενα στο άρθρο 4, καταβάλλεται σύμφωνα με τα οριζόμενα για την καταβολή του φόρου που προσδιορίζεται με βάση τις δηλώσεις φορολογίας εισοδήματος που υποβάλλουν οι φορολογούμενοι για το οικείο φορολογικό έτος.</w:t>
      </w:r>
    </w:p>
    <w:p>
      <w:pPr>
        <w:pStyle w:val="MainText"/>
        <w:spacing w:before="120" w:after="0"/>
        <w:rPr>
          <w:lang w:val="el" w:eastAsia="el"/>
        </w:rPr>
      </w:pPr>
      <w:r>
        <w:rPr>
          <w:b/>
          <w:bCs/>
          <w:lang w:val="el" w:eastAsia="el"/>
        </w:rPr>
        <w:t>2.</w:t>
      </w:r>
      <w:r>
        <w:rPr>
          <w:lang w:val="el" w:eastAsia="el"/>
        </w:rPr>
        <w:t xml:space="preserve"> </w:t>
      </w:r>
      <w:r>
        <w:rPr>
          <w:b/>
          <w:bCs/>
          <w:lang w:val="el" w:eastAsia="el"/>
        </w:rPr>
        <w:t>Δεν βεβαιώνεται το ποσό που οφείλεται με βάση την οίκοθεν πράξη προσδιορισμού φόρου, εφόσον αυτό δεν υπερβαίνει τα τριάντα (30) ευρώ (παρ. 1 του άρθρου 18 του ν. 3522/2006).</w:t>
      </w:r>
    </w:p>
    <w:p>
      <w:pPr>
        <w:pStyle w:val="MainText"/>
        <w:spacing w:before="120" w:after="0"/>
        <w:rPr>
          <w:lang w:val="el" w:eastAsia="el"/>
        </w:rPr>
      </w:pPr>
      <w:r>
        <w:rPr>
          <w:b/>
          <w:bCs/>
          <w:lang w:val="el" w:eastAsia="el"/>
        </w:rPr>
        <w:t>3.</w:t>
      </w:r>
      <w:r>
        <w:rPr>
          <w:lang w:val="el" w:eastAsia="el"/>
        </w:rPr>
        <w:t xml:space="preserve"> </w:t>
      </w:r>
      <w:r>
        <w:rPr>
          <w:b/>
          <w:bCs/>
          <w:lang w:val="el" w:eastAsia="el"/>
        </w:rPr>
        <w:t>Δεν επιστρέφεται ποσό φόρου με βάση την οίκοθεν πράξη προσδιορισμού φόρου μικρότερο των πέντε (5) ευρώ (παρ. 2 του άρθρου 18 του ν. 3522/2006).</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Διόρθωση της οίκοθεν πράξης διοικητικού προσδιορισμού φόρου με υποβολή τροποποι-ητικής δήλωσης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Ο φορολογούμενος μετά την έκδοση της οίκοθεν πράξης διοικητικού προσδιορισμού του φόρου, δύναται να ζητά την έκδοση πράξης διόρθωσης αυτής, με την υποβολή τρο- ποποιητικής δήλωσης κατ’ εφαρμογή των διατάξεων της παρ. 6 του άρθρου 36 του ΚΦΔ και τα οριζόμενα στο άρθρο 23 του ΚΦΔ. Η Φορολογική Διοίκηση εκδίδει πράξη διορθωτικού προσδιορισμού φόρου μόνο εφόσον κάνει αποδεκτή τη δήλωση.</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παράτασης των προθεσμιών για την υποβολή της δήλωσης φορολογίας εισοδήματος, ο φορολογούμενος μετά την έκδοση οίκοθεν πράξης προσδιορισμού φόρου, δύναται να υποβάλει τροποποιητική δήλωση, η οποία, σύμφωνα με την παρ. 2 του άρθρου 23 του ΚΦΔ, επέχει θέση εμπρόθεσμης αρχικής δήλωσης εφόσον υποβληθεί εντός της παραταθείσας προθεσμίας.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7Έναρξη ισχύος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Γενικής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ΣΤ΄, Ζ’ (εκτός των αριθ. 2, 5 και 6 αυτού), Η’ (εκτός των αριθ. 4, 10 και 11 αυτού), Θ’, Ι’, ΙΒ’, ΙΓ’, ΙΔ’, ΙΕ’, ΙΣΤ’, ΙΖ’, ΙΗ’, ΙΘ’, Κ’, ΚΑ’, ΚΒ’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Γενική Γραμματεία Εμπορίου, Γενική Δ/νση Αγοράς και Προστασίας Καταναλωτή, Δ/νση Εταιρειών, Πλ. Κάνιγγος, Τ.Κ. 101 81, Αθήνα</w:t>
      </w:r>
    </w:p>
    <w:p>
      <w:pPr>
        <w:spacing w:before="240" w:after="240"/>
        <w:rPr>
          <w:lang w:val="el" w:eastAsia="el"/>
        </w:rPr>
      </w:pPr>
      <w:r>
        <w:rPr>
          <w:lang w:val="el" w:eastAsia="el"/>
        </w:rPr>
        <w:t xml:space="preserve">8. </w:t>
      </w:r>
      <w:r>
        <w:rPr>
          <w:b/>
          <w:bCs/>
          <w:lang w:val="el" w:eastAsia="el"/>
        </w:rPr>
        <w:t>Υπουργείο Εθνικής Οικονομίας και Οικονομικών, Επιτροπή Λογιστικής Τυποποίησης και Ελέγχων (ΕΛΤΕ), Βουλής 7, Τ.Κ.105 62, Αθήνα</w:t>
      </w:r>
    </w:p>
    <w:p>
      <w:pPr>
        <w:spacing w:before="240" w:after="240"/>
        <w:rPr>
          <w:lang w:val="el" w:eastAsia="el"/>
        </w:rPr>
      </w:pPr>
      <w:r>
        <w:rPr>
          <w:lang w:val="el" w:eastAsia="el"/>
        </w:rPr>
        <w:t xml:space="preserve">9. </w:t>
      </w:r>
      <w:r>
        <w:rPr>
          <w:b/>
          <w:bCs/>
          <w:lang w:val="el" w:eastAsia="el"/>
        </w:rPr>
        <w:t>Περιοδικό «Φορολογική Επιθεώρηση»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Φορολογίας</w:t>
      </w:r>
    </w:p>
    <w:p>
      <w:pPr>
        <w:spacing w:before="240" w:after="240"/>
        <w:rPr>
          <w:lang w:val="el" w:eastAsia="el"/>
        </w:rPr>
      </w:pPr>
      <w:r>
        <w:rPr>
          <w:lang w:val="el" w:eastAsia="el"/>
        </w:rPr>
        <w:t xml:space="preserve">3. </w:t>
      </w:r>
      <w:r>
        <w:rPr>
          <w:b/>
          <w:bCs/>
          <w:lang w:val="el" w:eastAsia="el"/>
        </w:rPr>
        <w:t>Γραφείο Γενικής Δ/ντριας Ηλεκτρονικής Διακυβέρνησης</w:t>
      </w:r>
    </w:p>
    <w:p>
      <w:pPr>
        <w:spacing w:before="240" w:after="240"/>
        <w:rPr>
          <w:lang w:val="el" w:eastAsia="el"/>
        </w:rPr>
      </w:pPr>
      <w:r>
        <w:rPr>
          <w:lang w:val="el" w:eastAsia="el"/>
        </w:rPr>
        <w:t xml:space="preserve">4. </w:t>
      </w:r>
      <w:r>
        <w:rPr>
          <w:b/>
          <w:bCs/>
          <w:lang w:val="el" w:eastAsia="el"/>
        </w:rPr>
        <w:t>Γραφεία Γενικών Διευθυντών</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7. </w:t>
      </w:r>
      <w:r>
        <w:rPr>
          <w:b/>
          <w:bCs/>
          <w:lang w:val="el" w:eastAsia="el"/>
        </w:rPr>
        <w:t>Διεύθυνση Εφαρμογής Άμεσης Φορολογίας-Τμήμα Α΄</w:t>
      </w:r>
    </w:p>
    <w:p>
      <w:pPr>
        <w:spacing w:before="240" w:after="240"/>
        <w:rPr>
          <w:lang w:val="el" w:eastAsia="el"/>
        </w:rPr>
      </w:pPr>
      <w:r>
        <w:rPr>
          <w:lang w:val="el" w:eastAsia="el"/>
        </w:rPr>
        <w:t xml:space="preserve">8. </w:t>
      </w:r>
      <w:r>
        <w:rPr>
          <w:b/>
          <w:bCs/>
          <w:lang w:val="el" w:eastAsia="el"/>
        </w:rPr>
        <w:t>Διεύθυνση Επιχειρησιακών Διαδικασιών</w:t>
      </w:r>
    </w:p>
    <w:p>
      <w:pPr>
        <w:spacing w:before="240" w:after="240"/>
        <w:rPr>
          <w:lang w:val="el" w:eastAsia="el"/>
        </w:rPr>
      </w:pPr>
      <w:r>
        <w:rPr>
          <w:lang w:val="el" w:eastAsia="el"/>
        </w:rPr>
        <w:t xml:space="preserve">9.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mailto:diepidi@aade.gr" TargetMode="External" /><Relationship Id="rId6" Type="http://schemas.openxmlformats.org/officeDocument/2006/relationships/hyperlink" Target="mailto:dafe@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