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148104</w:t>
      </w:r>
    </w:p>
    <w:p>
      <w:pPr>
        <w:pStyle w:val="PreambelText"/>
        <w:spacing w:before="240" w:after="240"/>
        <w:rPr>
          <w:lang w:val="el" w:eastAsia="el"/>
        </w:rPr>
      </w:pPr>
      <w:r>
        <w:rPr>
          <w:b/>
          <w:bCs/>
          <w:lang w:val="el" w:eastAsia="el"/>
        </w:rPr>
        <w:t>Τροποποίηση της υπ’ αρ. οικ.10616/24-8-2020 κοινής απόφασης των Υπουργών Οικονομικών και Μετανάστευσης και Ασύλου «Καθορισμός λειτουργίας του “Μητρώου Ελληνικών και Ξένων Μη Κυβερνητικών Οργανώσεων (ΜΚΟ)” και του “Μητρώου Μελών Μη Κυβερνητικών Οργανώσεων (ΜΚΟ)”, που δραστηριοποιούνται σε θέματα διεθνούς προστασίας, μετανάστευσης και κοινωνικής ένταξης εντός της Ελληνικής Επικράτειας» (Β’ 3820).</w:t>
      </w:r>
    </w:p>
    <w:p>
      <w:pPr>
        <w:pStyle w:val="PreambelText"/>
        <w:spacing w:before="240" w:after="240"/>
        <w:rPr>
          <w:lang w:val="el" w:eastAsia="el"/>
        </w:rPr>
      </w:pPr>
      <w:r>
        <w:rPr>
          <w:b/>
          <w:bCs/>
          <w:lang w:val="el" w:eastAsia="el"/>
        </w:rPr>
        <w:t>Ο ΥΠΟΥΡΓΟΣ</w:t>
      </w:r>
    </w:p>
    <w:p>
      <w:pPr>
        <w:pStyle w:val="PreambelText"/>
        <w:spacing w:before="240" w:after="240"/>
        <w:rPr>
          <w:lang w:val="el" w:eastAsia="el"/>
        </w:rPr>
      </w:pPr>
      <w:r>
        <w:rPr>
          <w:b/>
          <w:bCs/>
          <w:lang w:val="el" w:eastAsia="el"/>
        </w:rPr>
        <w:t>ΜΕΤΑΝΑΣΤΕΥΣΗΣ ΚΑΙ ΑΣΥΛΟΥ</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Των άρθρων 78 και 148 του ν. 4939/2022 «Κύρωση Κώδικα Νομοθεσίας για την υποδοχή, τη διεθνή προστασία πολιτών τρίτων χωρών και ανιθαγενών και την προσωρινή προστασία σε περίπτωση μαζικής εισροής εκτοπισθέντων αλλοδαπών» (Α’ 111),</w:t>
      </w:r>
    </w:p>
    <w:p>
      <w:pPr>
        <w:pStyle w:val="PreambelText"/>
        <w:spacing w:before="240" w:after="240"/>
        <w:rPr>
          <w:lang w:val="el" w:eastAsia="el"/>
        </w:rPr>
      </w:pPr>
      <w:r>
        <w:rPr>
          <w:lang w:val="el" w:eastAsia="el"/>
        </w:rPr>
        <w:t>β. της παρ. 2 του άρθρου 44 του ν. 4960/2022 «Εθνικό Σύστημα Επιτροπείας και Πλαίσιο Φιλοξενίας Ασυνόδευτων Ανηλίκων και άλλες διατάξεις αρμοδιότητας του Υπουργείου Μετανάστευσης και Ασύλου» (Α’ 145) η οποία κατήργησε τις διατάξεις του άρθρου 191 του ν. 4662/2020 «Εθνικός Μηχανισμός διαχείρισης Κρίσεων και Αντιμετώπισης Κινδύνων, αναδιάρθρωσης της Γενικής Γραμματείας Πολιτικής Προστασίας, αναβάθμιση συστήματος εθελοντισμού πολιτικής προστασίας, αναδιοργάνωση του πυροσβεστικού και άλλες διατάξεις» (Α’ 27),</w:t>
      </w:r>
    </w:p>
    <w:p>
      <w:pPr>
        <w:pStyle w:val="PreambelText"/>
        <w:spacing w:before="240" w:after="240"/>
        <w:rPr>
          <w:lang w:val="el" w:eastAsia="el"/>
        </w:rPr>
      </w:pPr>
      <w:r>
        <w:rPr>
          <w:lang w:val="el" w:eastAsia="el"/>
        </w:rPr>
        <w:t>γ. του π.δ. 4/2020 «Σύσταση Υπουργείου Μετανάστευσης και Ασύλου, καθορισμός των αρμοδιοτήτων του και ανακατανομή αρμοδιοτήτων μεταξύ Υπουργείων» (Α’ 4), δ. του π.δ. 9/2020 «Μεταφορά υπηρεσιών και αρμοδιοτήτων μεταξύ των Υπουργείων Προστασίας του Πολίτη και Μετανάστευσης και Ασύλου» (Α’ 10),</w:t>
      </w:r>
    </w:p>
    <w:p>
      <w:pPr>
        <w:pStyle w:val="PreambelText"/>
        <w:spacing w:before="240" w:after="240"/>
        <w:rPr>
          <w:lang w:val="el" w:eastAsia="el"/>
        </w:rPr>
      </w:pPr>
      <w:r>
        <w:rPr>
          <w:lang w:val="el" w:eastAsia="el"/>
        </w:rPr>
        <w:t>ε. του π.δ. 18/2020 «Μετονομασία και σύσταση Γενικών και Ειδικών Γραμματειών στο Υπουργείο Μετανάστευσης και Ασύλου» (Α’ 34),</w:t>
      </w:r>
    </w:p>
    <w:p>
      <w:pPr>
        <w:pStyle w:val="PreambelText"/>
        <w:spacing w:before="240" w:after="240"/>
        <w:rPr>
          <w:lang w:val="el" w:eastAsia="el"/>
        </w:rPr>
      </w:pPr>
      <w:r>
        <w:rPr>
          <w:lang w:val="el" w:eastAsia="el"/>
        </w:rPr>
        <w:t>στ. του π.δ. 79/2023 «Διορισμός Υπουργών,Αναπληρωτών Υπουργών και Υφυπουργών» (Α’ 131),</w:t>
      </w:r>
    </w:p>
    <w:p>
      <w:pPr>
        <w:pStyle w:val="PreambelText"/>
        <w:spacing w:before="240" w:after="240"/>
        <w:rPr>
          <w:lang w:val="el" w:eastAsia="el"/>
        </w:rPr>
      </w:pPr>
      <w:r>
        <w:rPr>
          <w:lang w:val="el" w:eastAsia="el"/>
        </w:rPr>
        <w:t>ζ. του π.δ.106/2020 «Οργανισμός Υπουργείου Μετανάστευσης και Ασύλου» (Α’ 255),</w:t>
      </w:r>
    </w:p>
    <w:p>
      <w:pPr>
        <w:pStyle w:val="PreambelText"/>
        <w:spacing w:before="240" w:after="240"/>
        <w:rPr>
          <w:lang w:val="el" w:eastAsia="el"/>
        </w:rPr>
      </w:pPr>
      <w:r>
        <w:rPr>
          <w:lang w:val="el" w:eastAsia="el"/>
        </w:rPr>
        <w:t>η. των παρ. 2 και 3 του άρθρου 6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σύμφωνα με τις οποίες στο Υπουργείο Μετανάστευσης και Ασύλου καταργείται η Ειδική Γραμματεία Συντονισμού Εμπλεκόμενων Φορέων και οι υπηρεσίες της Ειδικής Γραμματείας Συντονισμού Εμπλεκομένων Φορέων, του άρθρου 44 του π.δ. 106/2020, μεταφέρονται, ως σύνολο αρμοδιοτήτων, οργανικών μονάδων, θέσεων προσωπικού και εποπτευόμενων φορέων στη Γενική Γραμματεία Υποδοχής Αιτούντων Άσυλο των άρθρων 33 επ. του π.δ. 106/2020 (Α’ 106),</w:t>
      </w:r>
    </w:p>
    <w:p>
      <w:pPr>
        <w:pStyle w:val="PreambelText"/>
        <w:spacing w:before="240" w:after="240"/>
        <w:rPr>
          <w:lang w:val="el" w:eastAsia="el"/>
        </w:rPr>
      </w:pPr>
      <w:r>
        <w:rPr>
          <w:lang w:val="el" w:eastAsia="el"/>
        </w:rPr>
        <w:t>θ. την παρ. 3 του άρθρου 6 της υπ’ αρ. οικ. 10616/ 24-8-2020 κοινής απόφασης των Υπουργών Οικονομικών και Μετανάστευσης και Ασύλου «Καθορισμός λειτουργίας του «Μητρώου Ελληνικών και Ξένων Μη Κυβερνητικών Οργανώσεων (ΜΚΟ)» και του «Μητρώου Μελών Μη Κυβερνητικών Οργανώσεων (ΜΚΟ)», που δραστηριοποιούνται σε θέματα διεθνούς προστασίας, μετανάστευσης και κοινωνικής ένταξης εντός της Ελληνικής Επικράτειας» (Β’ 3820).</w:t>
      </w:r>
    </w:p>
    <w:p>
      <w:pPr>
        <w:pStyle w:val="PreambelText"/>
        <w:spacing w:before="240" w:after="240"/>
        <w:rPr>
          <w:lang w:val="el" w:eastAsia="el"/>
        </w:rPr>
      </w:pPr>
      <w:r>
        <w:rPr>
          <w:lang w:val="el" w:eastAsia="el"/>
        </w:rPr>
        <w:t>2. Τη διασφάλιση: α) της δραστηριοποίησης και ομαλής λειτουργίας των ΜΚΟ, οι αποφάσεις εγγραφής και πιστοποίησης, τριετούς διάρκειας, πρέπει να εξακολουθήσουν να ισχύουν από την 9η Σεπτεμβρίου 2023 και εντεύθεν και β) της εύρυθμης λειτουργίας της υπηρεσίας λόγω του συσσωρευμένου όγκου αιτήσεων ανανέωσης εγγραφής και πιστοποίησης.</w:t>
      </w:r>
    </w:p>
    <w:p>
      <w:pPr>
        <w:pStyle w:val="PreambelText"/>
        <w:spacing w:before="240" w:after="240"/>
        <w:rPr>
          <w:lang w:val="el" w:eastAsia="el"/>
        </w:rPr>
      </w:pPr>
      <w:r>
        <w:rPr>
          <w:lang w:val="el" w:eastAsia="el"/>
        </w:rPr>
        <w:t>3. Την υπ’ αρ. 125283/16-4-2024 εισήγηση της Γενικής Διεύθυνσης Διοικητικών και Οικονομικών Υπηρεσιών του Υπουργείου Μετανάστευσης και Ασύλου, κατά την περ. ε’ της παρ. 5 του άρθρου 24 του ν. 4270/2014 (Α’ 143) σύμφωνα με την οποία από τις προτεινόμενες διατάξεις δεν προκαλείται δαπάνη σε βάρος του εγγεγραμμένων πιστώσεων του κρατικού προϋπολογισμού του Υπουργείου Μετανάστευσης και Ασύλου,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Την τροποποίηση της υπ’ αρ. οικ. 10616/24-8-2020 κοινής απόφασης των Υπουργών Οικονομικών και Μετανάστευσης και Ασύλου «Καθορισμός λειτουργίας του «Μητρώου Ελληνικών και Ξένων Μη Κυβερνητικών Οργανώσεων (ΜΚΟ)» και του «Μητρώου Μελών Μη Κυβερνητικών Οργανώσεων (ΜΚΟ)», που δραστηριοποιούνται σε θέματα διεθνούς προστασίας, μετανάστευσης και κοινωνικής ένταξης εντός της Ελληνικής Επικράτειας» (Β’ 3820) ως εξής:</w:t>
      </w:r>
    </w:p>
    <w:p>
      <w:pPr>
        <w:spacing w:before="240" w:after="240"/>
        <w:rPr>
          <w:lang w:val="el" w:eastAsia="el"/>
        </w:rPr>
      </w:pPr>
      <w:r>
        <w:rPr>
          <w:lang w:val="el" w:eastAsia="el"/>
        </w:rPr>
        <w:t>Όπου στις διατάξεις της ανωτέρω Κοινής Υπουργικής Απόφασης αναφέρεται ο «Ειδικός Γραμματέας Συντονισμού Εμπλεκόμενων Φορέων» πλέον νοείται ο «Γενικός Γραμματέας Υποδοχής Αιτούντων Άσυλο».</w:t>
      </w:r>
    </w:p>
    <w:p>
      <w:pPr>
        <w:spacing w:before="240" w:after="240"/>
        <w:rPr>
          <w:lang w:val="el" w:eastAsia="el"/>
        </w:rPr>
      </w:pPr>
      <w:r>
        <w:rPr>
          <w:lang w:val="el" w:eastAsia="el"/>
        </w:rPr>
        <w:t>B. Το τελευταίο εδάφιο της παρ. 3 του άρθρου 6 αντικαθίσταται ως εξής:</w:t>
      </w:r>
    </w:p>
    <w:p>
      <w:pPr>
        <w:spacing w:before="240" w:after="240"/>
        <w:rPr>
          <w:lang w:val="el" w:eastAsia="el"/>
        </w:rPr>
      </w:pPr>
      <w:r>
        <w:rPr>
          <w:lang w:val="el" w:eastAsia="el"/>
        </w:rPr>
        <w:t>«Εφόσον πληρούνται οι όροι και τα κριτήρια των άρθρων 1, 2, 3 και 5 της παρούσας, υφίσταται θετική εισήγηση της αρμόδιας Υπηρεσίας και σχετική θετική αξιολόγηση από την αρμόδια Επιτροπή, εκδίδεται από τον Γενικό Γραμματέα Υποδοχής Αιτούντων Άσυλο απόφαση εγγραφής και πιστοποίησης του αιτούντος φορέα, η οποία ισχύει μέχρι την ανάκλησή της.».</w:t>
      </w:r>
    </w:p>
    <w:p>
      <w:pPr>
        <w:spacing w:before="240" w:after="240"/>
        <w:rPr>
          <w:lang w:val="el" w:eastAsia="el"/>
        </w:rPr>
      </w:pPr>
      <w:r>
        <w:rPr>
          <w:lang w:val="el" w:eastAsia="el"/>
        </w:rPr>
        <w:t>Μεταβατική διάταξη</w:t>
      </w:r>
    </w:p>
    <w:p>
      <w:pPr>
        <w:spacing w:before="240" w:after="240"/>
        <w:rPr>
          <w:lang w:val="el" w:eastAsia="el"/>
        </w:rPr>
      </w:pPr>
      <w:r>
        <w:rPr>
          <w:lang w:val="el" w:eastAsia="el"/>
        </w:rPr>
        <w:t>Φορείς οι οποίοι είχαν εγγραφεί και πιστοποιηθεί στο Μητρώο και τηρούν όλους τους σχετικούς όρους και προϋποθέσεις της παρούσας απόφασης εξακολουθούν να είναι εγγεγραμμένοι και πιστοποιημένοι και οι αποφάσεις εγγραφής και πιστοποίησής τους ισχύουν μέχρι της ανακλήσεώς τους.</w:t>
      </w:r>
    </w:p>
    <w:p>
      <w:pPr>
        <w:spacing w:before="240" w:after="240"/>
        <w:rPr>
          <w:lang w:val="el" w:eastAsia="el"/>
        </w:rPr>
      </w:pPr>
      <w:r>
        <w:rPr>
          <w:lang w:val="el" w:eastAsia="el"/>
        </w:rPr>
        <w:t>Κατά τα λοιπά ισχύει η υπ’ αρ. οικ. 10616/24-8-2020 (Β’ 3820) κοινή απόφαση των Υπουργών Οικονομικών και Μετανάστευσης και Ασύλου.</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Άγιος Ιωάννης Ρέντης, 19 Μαΐου 2024</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ΔΗΜΗΤΡΙΟΣ ΚΑΙΡΙΔΗΣ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