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69656 ΕΞ 2024</w:t>
      </w:r>
      <w:r>
        <w:rPr>
          <w:b/>
          <w:bCs/>
          <w:lang w:val="el" w:eastAsia="el"/>
        </w:rPr>
        <w:t>Κοινοποίηση ενιαίου κωδικοποιημένου κειμένου με τη διοικητική κωδικοποίηση της νομοθεσίας για την άμεση φορολογία.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Ο ΥΦΥΠΟΥΡΓΟΣ ΕΘΝΙΚΗΣ ΟΙΚΟΝΟΜΙΑΣ ΚΑΙ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Τον ν. 4172/2013 (Α’ 167).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παρ. 55 του άρθρου 83 του ν. 5104/2024 «Κώδικας Φορολογικής Διαδικασίας και άλλες διατάξεις - Συνταξιοδοτική διάταξη» (Α’ 58).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59170 ΕΞ 2021/20.5.2021 (Β’2188) απόφαση του Υπουργού Οικονομικών για τη σύσταση, συγκρότηση και ορισμό μελών Επιτροπής για την επεξεργασία της διοικητικής κωδικοποίησης της νομοθεσίας για την άμεση φορολογία.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υπό στοιχεία 51773 ΕΞ 2024/09.04.2024 έγγραφο της Συντονίστριας της Επιτροπής, με το οποίο διαβιβάστηκε το επεξεργασμένο αρχείο με τη διοικητική κωδικοποίηση της νομοθεσίας για την άμεση φορολογία των διατάξεων του ν. 4172/2013 (Α’ 167).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υπ’ αρ. 190/2.5.2024 έγγραφο του Προέδρου της Κεντρικής Επιτροπής Κωδικοποίησης (Κ.Ε.Κ.), με το οποίο διαβιβάστηκε το κείμενο της Διοικητικής Κωδικοποίησης του Κώδικα φορολογίας εισοδήματος, όπως διαμορφώθηκε από την Κεντρική Επιτροπή Κωδικοποίησης.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υπό στοιχεία 68138 ΕΞ 2024/16.05.2024 έγγραφο της Συντονίστριας της Επιτροπής, με το οποίο διαβιβάστηκε το κείμενο της διοικητικής κωδικοποίησης του Κώδικα Φορολογίας Εισοδήματος (Κ.Φ.Ε., ν. 4172/2013, Α’ 167) επικαιροποιημένο μέχρι και τον ν. 5105/2024 (Α’ 61).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Τα άρθρα 13 και 14 σε συνδυασμό με τα άρθρα 75 - 83 του ν. 4727/2020 «Ψηφιακή Διακυβέρνηση (Ενσωμάτωση στην Ελληνική Νομοθεσία της Οδηγίας (ΕΕ) 2016/2102 και της Οδηγίας (ΕΕ) 2019/1024) Ηλεκτρονικές Επικοινωνίες (Ενσωμάτωση στο Ελληνικό Δίκαιο της Οδηγίας (ΕΕ) 2018/1972) και άλλες διατάξεις» (Α’ 184).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π.δ. 79/2023 «Διορισμός Υπουργών, Αναπληρωτών Υπουργών και Υφυπουργών» (Α’ 131).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υπό στοιχεία 102916 ΕΞ 2023/10.7.2023 κοινή απόφαση του Πρωθυπουργού και του Υπουργού Οικονομικών «Ανάθεση αρμοδιοτήτων στον Υφυπουργό Οικονομικών, Θεοχάρη Θεοχάρη» (Β’ 4441).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Τον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Tο άρθρο 90 του Κώδικα νομοθεσίας για την Κυβέρνηση και τα κυβερνητικά όργανα (π.δ. 63/2005, Α’ 98), το οποίο διατηρήθηκε σε ισχύ με την περ. 22 του άρθρου 119 του ν. 4622/2019 (Α’ 133).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Την περ. θ της παρ. 2 του άρθρου 5 του ν. 3469/2006 «Εθνικό Τυπογραφείο, Εφημερίς της Κυβερνήσεως και λοιπές διατάξεις» (Α’ 131).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ενιαίο διοικητικά κωδικοποιημένο κείμενο της νομοθεσίας για την άμεση φορολογία, του ν. 4172/2013 (Α’ 167),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ενιαίο κωδικοποιημένο κείμενο της νομοθεσίας για την άμεση φορολογία είναι αναρτημένο στην επίσημη ιστοσελίδα του Υπουργείου Εθνικής Οικονομίας και Οικονομικών και έχει λάβει την κάτωθι ψηφιακή υπογραφή: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ΑΔΑ: Ρ95ΦΗ – 59Γ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Digitally signed by Ministryof Digital Governance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Date:16.05.2024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18:49:08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Location: Athens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20 Μαΐου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ΘΕΟΧΑΡΗΣ ΘΕΟΧΑΡΗΣ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