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ΓΕΝΙΚΗ ΔΙΕΥΘΥΝΣΗ ΦΟΡΟΛΟΓΙΑΣ ΔΙΕΥΘΥΝΣΗ ΕΦΑΡΜΟΓΗΣ ΦΟΡΟΛΟΓΙΑΣ ΚΕΦΑΛΑΙΟΥ &amp; ΠΕΡΙΟΥΣΙΟΛΟΓΙΟΥ ΤΜΗΜΑ Α΄</w:t>
      </w:r>
    </w:p>
    <w:p>
      <w:pPr>
        <w:pStyle w:val="PreambelText"/>
        <w:spacing w:before="240" w:after="240"/>
        <w:rPr>
          <w:lang w:val="el" w:eastAsia="el"/>
        </w:rPr>
      </w:pPr>
      <w:r>
        <w:rPr>
          <w:b/>
          <w:bCs/>
          <w:lang w:val="el" w:eastAsia="el"/>
        </w:rPr>
        <w:t>Ταχ. δ/νση: Χανδρή 1 &amp; Θεσσαλονίκης</w:t>
      </w:r>
    </w:p>
    <w:p>
      <w:pPr>
        <w:pStyle w:val="PreambelText"/>
        <w:spacing w:before="240" w:after="240"/>
        <w:rPr>
          <w:lang w:val="el" w:eastAsia="el"/>
        </w:rPr>
      </w:pPr>
      <w:r>
        <w:rPr>
          <w:b/>
          <w:bCs/>
          <w:lang w:val="el" w:eastAsia="el"/>
        </w:rPr>
        <w:t>Ταχ. κώδικας: 183 46 – Μοσχάτο</w:t>
      </w:r>
    </w:p>
    <w:p>
      <w:pPr>
        <w:pStyle w:val="PreambelText"/>
        <w:spacing w:before="240" w:after="240"/>
        <w:rPr>
          <w:lang w:val="el" w:eastAsia="el"/>
        </w:rPr>
      </w:pPr>
      <w:r>
        <w:rPr>
          <w:b/>
          <w:bCs/>
          <w:lang w:val="el" w:eastAsia="el"/>
        </w:rPr>
        <w:t>Τηλέφωνο: 2104802164</w:t>
      </w:r>
    </w:p>
    <w:p>
      <w:pPr>
        <w:pStyle w:val="PreambelText"/>
        <w:spacing w:before="240" w:after="240"/>
        <w:rPr>
          <w:lang w:val="el" w:eastAsia="el"/>
        </w:rPr>
      </w:pPr>
      <w:r>
        <w:rPr>
          <w:b/>
          <w:bCs/>
          <w:lang w:val="el" w:eastAsia="el"/>
        </w:rPr>
        <w:t xml:space="preserve">Url: </w:t>
      </w:r>
      <w:hyperlink r:id="rId4"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lang w:val="el" w:eastAsia="el"/>
        </w:rPr>
        <w:t xml:space="preserve">1. </w:t>
      </w:r>
      <w:r>
        <w:rPr>
          <w:b/>
          <w:bCs/>
          <w:lang w:val="el" w:eastAsia="el"/>
        </w:rPr>
        <w:t>ΔΙΕΥΘΥΝΣΗ ΑΝΑΠΤΥΞΗΣ ΦΟΡΟΛΟΓΙΚΩΝ ΕΦΑΡΜΟΓΩΝ</w:t>
      </w:r>
    </w:p>
    <w:p>
      <w:pPr>
        <w:pStyle w:val="PreambelText"/>
        <w:spacing w:before="240" w:after="240"/>
        <w:rPr>
          <w:lang w:val="el" w:eastAsia="el"/>
        </w:rPr>
      </w:pPr>
      <w:r>
        <w:rPr>
          <w:lang w:val="el" w:eastAsia="el"/>
        </w:rPr>
        <w:t xml:space="preserve">2. </w:t>
      </w:r>
      <w:r>
        <w:rPr>
          <w:b/>
          <w:bCs/>
          <w:lang w:val="el" w:eastAsia="el"/>
        </w:rPr>
        <w:t>ΔΙΕΘΥΝΣΗ ΕΠΙΧΕΙΡΗΣΙΑΚΩΝ ΔΙΑΔΙΚΑΣΙΩΝ</w:t>
      </w:r>
    </w:p>
    <w:p>
      <w:pPr>
        <w:pStyle w:val="PreambelText"/>
        <w:spacing w:before="240" w:after="240"/>
        <w:rPr>
          <w:lang w:val="el" w:eastAsia="el"/>
        </w:rPr>
      </w:pPr>
      <w:r>
        <w:rPr>
          <w:b/>
          <w:bCs/>
          <w:lang w:val="el" w:eastAsia="el"/>
        </w:rPr>
        <w:t>Ταχ. δ/νση: Πειραιώς 72</w:t>
      </w:r>
    </w:p>
    <w:p>
      <w:pPr>
        <w:pStyle w:val="PreambelText"/>
        <w:spacing w:before="240" w:after="240"/>
        <w:rPr>
          <w:lang w:val="el" w:eastAsia="el"/>
        </w:rPr>
      </w:pPr>
      <w:r>
        <w:rPr>
          <w:b/>
          <w:bCs/>
          <w:lang w:val="el" w:eastAsia="el"/>
        </w:rPr>
        <w:t>Ταχ. κώδικας: 183 46 – Μοσχάτο</w:t>
      </w:r>
    </w:p>
    <w:p>
      <w:pPr>
        <w:pStyle w:val="PreambelText"/>
        <w:spacing w:before="240" w:after="240"/>
        <w:rPr>
          <w:lang w:val="el" w:eastAsia="el"/>
        </w:rPr>
      </w:pPr>
      <w:r>
        <w:rPr>
          <w:b/>
          <w:bCs/>
          <w:lang w:val="el" w:eastAsia="el"/>
        </w:rPr>
        <w:t>ΘΕΜΑ: Παράταση προθεσμίας υποβολής δηλώσεων Ειδικού Φόρου επί των Ακινήτων (Ε.Φ.Α.) έτους 2024</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22 του ν. 2020/1992 «Διαρρυθμίσεις στον ενιαίο ειδικό φόρο κατανάλωσης των πετρελαιοειδών προϊόντων και άλλες διατάξεις» (Α΄34),</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17 του ν. 3091/2002 «Απλουστεύσεις και βελτιώσεις στη φορολογία εισοδήματος και κεφαλαίου και άλλες διατάξεις» (Α΄330),</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 OPΓ. A 1125859 ΕΞ 2020/23-10-2020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2013/28.01.2013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υποπερ. α΄ της παρ. 3 του άρθρου 41 του ν.4389/2016.</w:t>
      </w:r>
    </w:p>
    <w:p>
      <w:pPr>
        <w:pStyle w:val="PreambelText"/>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2020/171-2020 (Υ.Ο.Δ.Δ. 27) του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διευκόλυνσης φορολογουμένων και λογιστών για την ομαλή ολοκλήρωση της διαδικασίας υποβολής των δηλώσεων Ε.Φ.Α..</w:t>
      </w:r>
    </w:p>
    <w:p>
      <w:pPr>
        <w:pStyle w:val="PreambelText"/>
        <w:spacing w:before="240" w:after="240"/>
        <w:rPr>
          <w:lang w:val="el" w:eastAsia="el"/>
        </w:rPr>
      </w:pPr>
      <w:r>
        <w:rPr>
          <w:lang w:val="el" w:eastAsia="el"/>
        </w:rPr>
        <w:t xml:space="preserve">5. </w:t>
      </w:r>
      <w:r>
        <w:rPr>
          <w:b/>
          <w:bCs/>
          <w:lang w:val="el" w:eastAsia="el"/>
        </w:rPr>
        <w:t>Το γεγονός ότι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ημερομηνία υποβολής της δήλωσης Ειδικού Φόρου επί των Ακινήτων (Ε.Φ.Α.), που ορίζεται στο πρώτο εδάφιο της παρ. 6 του άρθρου 17 του ν. 3091/2002, ειδικά για το έτος 2024, παρατείνεται μέχρι και την 31-5-2024.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 xml:space="preserve">Ι.ΑΠΟΔΕΚΤΕΣ ΓΙΑ ΑΜΕΣΗ ΕΝΕΡΓΕΙΑ </w:t>
      </w:r>
      <w:r>
        <w:rPr>
          <w:b/>
          <w:bCs/>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 (περιπτώσεις 7 και 8)</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b/>
          <w:bCs/>
          <w:lang w:val="el" w:eastAsia="el"/>
        </w:rPr>
        <w:t>Γραφείο Υπουργού</w:t>
      </w:r>
    </w:p>
    <w:p>
      <w:pPr>
        <w:spacing w:before="240" w:after="240"/>
        <w:rPr>
          <w:lang w:val="el" w:eastAsia="el"/>
        </w:rPr>
      </w:pPr>
      <w:r>
        <w:rPr>
          <w:b/>
          <w:bCs/>
          <w:lang w:val="el" w:eastAsia="el"/>
        </w:rPr>
        <w:t>Γραφείο Υφυπουργού</w:t>
      </w:r>
    </w:p>
    <w:p>
      <w:pPr>
        <w:spacing w:before="240" w:after="240"/>
        <w:rPr>
          <w:lang w:val="el" w:eastAsia="el"/>
        </w:rPr>
      </w:pPr>
      <w:r>
        <w:rPr>
          <w:b/>
          <w:bCs/>
          <w:lang w:val="el" w:eastAsia="el"/>
        </w:rPr>
        <w:t>Γραφείο Γενικού Γραμματέα Φορολογικής Πολιτικής</w:t>
      </w:r>
    </w:p>
    <w:p>
      <w:pPr>
        <w:spacing w:before="240" w:after="240"/>
        <w:rPr>
          <w:lang w:val="el" w:eastAsia="el"/>
        </w:rPr>
      </w:pPr>
      <w:r>
        <w:rPr>
          <w:b/>
          <w:bCs/>
          <w:lang w:val="el" w:eastAsia="el"/>
        </w:rPr>
        <w:t>Αποδέκτες Πίνακα Β΄ (περίπτωση 3)</w:t>
      </w:r>
    </w:p>
    <w:p>
      <w:pPr>
        <w:spacing w:before="240" w:after="240"/>
        <w:rPr>
          <w:lang w:val="el" w:eastAsia="el"/>
        </w:rPr>
      </w:pPr>
      <w:r>
        <w:rPr>
          <w:b/>
          <w:bCs/>
          <w:lang w:val="el" w:eastAsia="el"/>
        </w:rPr>
        <w:t>Αποδέκτες Πίνακα Γ΄ (περιπτώσεις 1 έως και 6)</w:t>
      </w:r>
    </w:p>
    <w:p>
      <w:pPr>
        <w:spacing w:before="240" w:after="240"/>
        <w:rPr>
          <w:lang w:val="el" w:eastAsia="el"/>
        </w:rPr>
      </w:pPr>
      <w:r>
        <w:rPr>
          <w:b/>
          <w:bCs/>
          <w:lang w:val="el" w:eastAsia="el"/>
        </w:rPr>
        <w:t>Αποδέκτες Πίνακα Ζ΄ (περιπτώσεις 1 και 7)</w:t>
      </w:r>
    </w:p>
    <w:p>
      <w:pPr>
        <w:spacing w:before="240" w:after="240"/>
        <w:rPr>
          <w:lang w:val="el" w:eastAsia="el"/>
        </w:rPr>
      </w:pPr>
      <w:r>
        <w:rPr>
          <w:b/>
          <w:bCs/>
          <w:lang w:val="el" w:eastAsia="el"/>
        </w:rPr>
        <w:t>Αποδέκτες Πίνακα Η΄(περιπτώσεις 1 έως και 3, 5 έως και 9)</w:t>
      </w:r>
    </w:p>
    <w:p>
      <w:pPr>
        <w:spacing w:before="240" w:after="240"/>
        <w:rPr>
          <w:lang w:val="el" w:eastAsia="el"/>
        </w:rPr>
      </w:pPr>
      <w:r>
        <w:rPr>
          <w:b/>
          <w:bCs/>
          <w:lang w:val="el" w:eastAsia="el"/>
        </w:rPr>
        <w:t>Αποδέκτες Πίνακα Ι΄</w:t>
      </w:r>
    </w:p>
    <w:p>
      <w:pPr>
        <w:spacing w:before="240" w:after="240"/>
        <w:rPr>
          <w:lang w:val="el" w:eastAsia="el"/>
        </w:rPr>
      </w:pPr>
      <w:r>
        <w:rPr>
          <w:b/>
          <w:bCs/>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Γενικών Διευθυντών</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