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Χανδρή 1 &amp; Θεσσαλονίκης 18346 Μοσχάτο 2104802164</w:t>
      </w:r>
    </w:p>
    <w:p>
      <w:pPr>
        <w:spacing w:before="240" w:after="240"/>
        <w:rPr>
          <w:lang w:val="el" w:eastAsia="el"/>
        </w:rPr>
      </w:pP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Τροποποίηση της υπό στοιχεία Α. 1085/2023 απόφασης του Διοικητή της ΑΑΔΕ με θέμα: «Πιστοποιητικό του άρθρου 54Α του ν. 4987/2022 (πιστοποιητικό ΕΝΦΙΑ)» (Β΄3617).</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60 και της περ. η’ της παρ. 50 του άρθρου 83 του ν. 5104/2024 «Κώδικας Φορολογικής Διαδικασίας και άλλες διατάξεις» (Α΄58), εφεξής ΚΦΔ,</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1 έως 8 του ν. 4223/2013 «Ενιαίος Φόρος Ιδιοκτησίας Ακινήτων και άλλες διατάξεις» (Α΄ 287),</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w:t>
      </w:r>
    </w:p>
    <w:p>
      <w:pPr>
        <w:spacing w:before="240" w:after="240"/>
        <w:rPr>
          <w:lang w:val="el" w:eastAsia="el"/>
        </w:rPr>
      </w:pPr>
      <w:r>
        <w:rPr>
          <w:b/>
          <w:bCs/>
          <w:u w:val="single"/>
          <w:lang w:val="el" w:eastAsia="el"/>
        </w:rPr>
        <w:t>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απόφαση του Συμβουλίου Διοίκησης της ΑΑΔΕ (Υ.Ο.Δ.Δ. 689) και την υπό στοιχεία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 xml:space="preserve">3. </w:t>
      </w:r>
      <w:r>
        <w:rPr>
          <w:b/>
          <w:bCs/>
          <w:u w:val="single"/>
          <w:lang w:val="el" w:eastAsia="el"/>
        </w:rPr>
        <w:t>Την υπό στοιχεία Δ. ΟΡΓ. Α 1065199 ΕΞ 2022 απόφαση του Διοικητή ΑΑΔΕ «Μεταβίβαση αρμοδιοτήτων και εξουσιοδότηση υπογραφής «Με εντολή Διοικητή» σε όργανα της Φορολογικής Διοίκησης» (B' 3886).</w:t>
      </w:r>
    </w:p>
    <w:p>
      <w:pPr>
        <w:spacing w:before="240" w:after="240"/>
        <w:rPr>
          <w:lang w:val="el" w:eastAsia="el"/>
        </w:rPr>
      </w:pPr>
      <w:r>
        <w:rPr>
          <w:u w:val="single"/>
          <w:lang w:val="el" w:eastAsia="el"/>
        </w:rPr>
        <w:t xml:space="preserve">4. </w:t>
      </w:r>
      <w:r>
        <w:rPr>
          <w:b/>
          <w:bCs/>
          <w:u w:val="single"/>
          <w:lang w:val="el" w:eastAsia="el"/>
        </w:rPr>
        <w:t>Την υπό στοιχεία ΠΟΛ 1279/2013 (Β΄3397), τις υπ’ αρ. 1020/2014 (Β΄74), 1205/2014 (Β΄ 2518), 1004/2015 (Β΄ 2), 1015/2015 (Β΄ 245) και 1114/2015 (Β΄ 1093) αποφάσεις Γ.Γ.Δ.Ε. και τις υπό στοιχεία ΠΟΛ 1002/2017 (Β΄114), Α.1137/2020 (Β΄ 2423), Α. 1008/2021 (Β΄ 229), Α. 1106/2021 (Β΄ 1976) και Α. 1085/2023 (Β΄3617) αποφάσεις του Διοικητή της Α.Α.Δ.Ε. σχετικά με το πιστοποιητικό ΕΝΦΙΑ.</w:t>
      </w:r>
    </w:p>
    <w:p>
      <w:pPr>
        <w:spacing w:before="240" w:after="240"/>
        <w:rPr>
          <w:lang w:val="el" w:eastAsia="el"/>
        </w:rPr>
      </w:pPr>
      <w:r>
        <w:rPr>
          <w:u w:val="single"/>
          <w:lang w:val="el" w:eastAsia="el"/>
        </w:rPr>
        <w:t xml:space="preserve">5. </w:t>
      </w:r>
      <w:r>
        <w:rPr>
          <w:b/>
          <w:bCs/>
          <w:u w:val="single"/>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spacing w:before="240" w:after="240"/>
        <w:rPr>
          <w:lang w:val="el" w:eastAsia="el"/>
        </w:rPr>
      </w:pPr>
      <w:r>
        <w:rPr>
          <w:u w:val="single"/>
          <w:lang w:val="el" w:eastAsia="el"/>
        </w:rPr>
        <w:t xml:space="preserve">6. </w:t>
      </w:r>
      <w:r>
        <w:rPr>
          <w:b/>
          <w:bCs/>
          <w:u w:val="single"/>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 5703).</w:t>
      </w:r>
    </w:p>
    <w:p>
      <w:pPr>
        <w:spacing w:before="240" w:after="240"/>
        <w:rPr>
          <w:lang w:val="el" w:eastAsia="el"/>
        </w:rPr>
      </w:pPr>
      <w:r>
        <w:rPr>
          <w:u w:val="single"/>
          <w:lang w:val="el" w:eastAsia="el"/>
        </w:rPr>
        <w:t xml:space="preserve">7. </w:t>
      </w:r>
      <w:r>
        <w:rPr>
          <w:b/>
          <w:bCs/>
          <w:u w:val="single"/>
          <w:lang w:val="el" w:eastAsia="el"/>
        </w:rPr>
        <w:t>Την ανάγκη τροποποίησης της υπό στοιχεία Α. 1085/2023 απόφασης του Διοικητή της ΑΑΔΕ σχετικά με το πιστοποιητικό ΕΝΦΙΑ, ως προς τον χρόνο ισχύος των πιστοποιητικών που εκδίδονται για αποβιώσαντες και νομικά πρόσωπα που έχουν διακόψει τις εργασίες τους, για τη διευκόλυνση των φορολογούμενων και των υπηρεσιών.</w:t>
      </w:r>
    </w:p>
    <w:p>
      <w:pPr>
        <w:spacing w:before="240" w:after="240"/>
        <w:rPr>
          <w:lang w:val="el" w:eastAsia="el"/>
        </w:rPr>
      </w:pPr>
      <w:r>
        <w:rPr>
          <w:u w:val="single"/>
          <w:lang w:val="el" w:eastAsia="el"/>
        </w:rPr>
        <w:t xml:space="preserve">8. </w:t>
      </w:r>
      <w:r>
        <w:rPr>
          <w:b/>
          <w:bCs/>
          <w:u w:val="single"/>
          <w:lang w:val="el" w:eastAsia="el"/>
        </w:rPr>
        <w:t>Το γεγονός ότι με την παρούσα απόφαση δεν προκαλείται δαπάνη στον κρατικό προϋπολογισμό.</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 xml:space="preserve">Προσδιορισμός του χρόνου ισχύος των πιστοποιητικών ΕΝΦΙΑ που εκδίδονται γιααποβιώσαντες και νομικά πρόσωπα που έχουν διακόψει τις εργασίες τους </w:t>
      </w:r>
    </w:p>
    <w:p>
      <w:pPr>
        <w:spacing w:before="240" w:after="240"/>
        <w:rPr>
          <w:lang w:val="el" w:eastAsia="el"/>
        </w:rPr>
      </w:pPr>
      <w:r>
        <w:rPr>
          <w:b/>
          <w:bCs/>
          <w:u w:val="single"/>
          <w:lang w:val="el" w:eastAsia="el"/>
        </w:rPr>
        <w:t xml:space="preserve">-Τροποποίηση της παρ. 6 του άρθρου 1 της υπό στοιχεία </w:t>
      </w:r>
    </w:p>
    <w:p>
      <w:pPr>
        <w:spacing w:before="240" w:after="240"/>
        <w:rPr>
          <w:lang w:val="el" w:eastAsia="el"/>
        </w:rPr>
      </w:pPr>
      <w:r>
        <w:rPr>
          <w:b/>
          <w:bCs/>
          <w:u w:val="single"/>
          <w:lang w:val="el" w:eastAsia="el"/>
        </w:rPr>
        <w:t>A. 1085/2023απόφασης (Β΄3617).</w:t>
      </w:r>
    </w:p>
    <w:p>
      <w:pPr>
        <w:spacing w:before="240" w:after="240"/>
        <w:rPr>
          <w:lang w:val="el" w:eastAsia="el"/>
        </w:rPr>
      </w:pPr>
      <w:r>
        <w:rPr>
          <w:b/>
          <w:bCs/>
          <w:u w:val="single"/>
          <w:lang w:val="el" w:eastAsia="el"/>
        </w:rPr>
        <w:t>Στην παρ. 6 του άρθρου 1 της υπό στοιχεία Α. 1085/2023 απόφασης του Διοικητή της ΑΑΔΕ, μετά το πρώτο εδάφιο προστίθεται νέο εδάφιο και η παρ. 6 διαμορφώνεται ως εξής:</w:t>
      </w:r>
    </w:p>
    <w:p>
      <w:pPr>
        <w:spacing w:before="240" w:after="240"/>
        <w:rPr>
          <w:lang w:val="el" w:eastAsia="el"/>
        </w:rPr>
      </w:pPr>
      <w:r>
        <w:rPr>
          <w:b/>
          <w:bCs/>
          <w:u w:val="single"/>
          <w:lang w:val="el" w:eastAsia="el"/>
        </w:rPr>
        <w:t>« 6. Το πιστοποιητικό ΕΝ.Φ.Ι.Α. ισχύει:</w:t>
      </w:r>
    </w:p>
    <w:p>
      <w:pPr>
        <w:spacing w:before="240" w:after="240"/>
        <w:rPr>
          <w:lang w:val="el" w:eastAsia="el"/>
        </w:rPr>
      </w:pPr>
      <w:r>
        <w:rPr>
          <w:b/>
          <w:bCs/>
          <w:u w:val="single"/>
          <w:lang w:val="el" w:eastAsia="el"/>
        </w:rPr>
        <w:t>α) Μέχρι την ημερομηνία της πρώτης κεντρικής έκδοσης της πράξης διοικητικού προσδιορισμού ΕΝΦΙΑ του τρέχοντος έτους, στις περιπτώσεις που εκδίδεται μετά την 1η Ιανουάριου του τρέχοντος έτους και μέχρι την πρώτη κεντρική έκδοση της πράξης διοικητικού προσδιορισμού ΕΝΦΙΑ τρέχοντος έτους,</w:t>
      </w:r>
    </w:p>
    <w:p>
      <w:pPr>
        <w:spacing w:before="240" w:after="240"/>
        <w:rPr>
          <w:lang w:val="el" w:eastAsia="el"/>
        </w:rPr>
      </w:pPr>
      <w:r>
        <w:rPr>
          <w:b/>
          <w:bCs/>
          <w:u w:val="single"/>
          <w:lang w:val="el" w:eastAsia="el"/>
        </w:rPr>
        <w:t>β) μέχρι την 31</w:t>
      </w:r>
      <w:r>
        <w:rPr>
          <w:b/>
          <w:bCs/>
          <w:sz w:val="30"/>
          <w:szCs w:val="30"/>
          <w:u w:val="single"/>
          <w:vertAlign w:val="superscript"/>
          <w:lang w:val="el" w:eastAsia="el"/>
        </w:rPr>
        <w:t>η</w:t>
      </w:r>
      <w:r>
        <w:rPr>
          <w:b/>
          <w:bCs/>
          <w:u w:val="single"/>
          <w:lang w:val="el" w:eastAsia="el"/>
        </w:rPr>
        <w:t xml:space="preserve"> Δεκεμβρίου του έτους έκδοσής του, στις περιπτώσεις που εκδίδεται μετά την πρώτη κεντρική έκδοση της πράξης διοικητικού προσδιορισμού ΕΝΦΙΑ του τρέχοντος έτους. Κατ’ εξαίρεση, το πιστοποιητικό ΕΝΦΙΑ, που εκδίδεται για αποβιώσαντα και για νομικό πρόσωπο που έχει διακόψει τις εργασίες του σε επόμενο του θανάτου/ διακοπής εργασιών έτος ή στο έτος θανάτου/ διακοπής εργασιών μετά την πρώτη κεντρική έκδοση της πράξης διοικητικού προσδιορισμού ΕΝΦΙΑ του έτους αυτού, ισχύει μέχρι τη μνημόνευση και επισύναψή του σε συμβολαιογραφικό έγγραφο, ανεξάρτητα από την ημερομηνία ισχύος που αναγράφεται επί του πιστοποιητικού.</w:t>
      </w:r>
    </w:p>
    <w:p>
      <w:pPr>
        <w:spacing w:before="240" w:after="240"/>
        <w:rPr>
          <w:lang w:val="el" w:eastAsia="el"/>
        </w:rPr>
      </w:pPr>
      <w:r>
        <w:rPr>
          <w:b/>
          <w:bCs/>
          <w:u w:val="single"/>
          <w:lang w:val="el" w:eastAsia="el"/>
        </w:rPr>
        <w:t>Η υπεύθυνη δήλωση ΕΝ.Φ.Ι.Α. της παρ. 4 ισχύει μέχρι την 31η Δεκεμβρίου του έτους έκδοσής της.»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2Μεταβατική διάταξη - 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Τα πιστοποιητικά ΕΝΦΙΑ αποβιωσάντων και νομικών προσώπων που έχουν διακόψει τις εργασίες τους, τα οποία έχουν εκδοθεί και δεν έχουν μνημονευθεί και επισυναφθεί σε συμβολαιογραφικό έγγραφο μέχρι τη δημοσίευση της παρούσας, έχουν την ισχύ που ορίζεται στο άρθρο 1, ανεξάρτητα από την ημερομηνία ισχύος που αναγράφεται επ’ αυτών.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απόφαση ισχύει από τη δημοσίευσή της στην Εφημερίδα της Κυβερνήσεως.</w:t>
      </w:r>
    </w:p>
    <w:p>
      <w:pPr>
        <w:spacing w:before="240" w:after="240"/>
        <w:rPr>
          <w:lang w:val="el" w:eastAsia="el"/>
        </w:rPr>
      </w:pPr>
      <w:r>
        <w:rPr>
          <w:u w:val="single"/>
          <w:lang w:val="el" w:eastAsia="el"/>
        </w:rPr>
        <w:t xml:space="preserve">3.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(περιπτώσεις 7,8)</w:t>
      </w:r>
    </w:p>
    <w:p>
      <w:pPr>
        <w:spacing w:before="240" w:after="240"/>
        <w:rPr>
          <w:lang w:val="el" w:eastAsia="el"/>
        </w:rPr>
      </w:pPr>
      <w:r>
        <w:rPr>
          <w:u w:val="single"/>
          <w:lang w:val="el" w:eastAsia="el"/>
        </w:rPr>
        <w:t xml:space="preserve">2. </w:t>
      </w:r>
      <w:r>
        <w:rPr>
          <w:b/>
          <w:bCs/>
          <w:u w:val="single"/>
          <w:lang w:val="el" w:eastAsia="el"/>
        </w:rPr>
        <w:t>Γ. 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