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b/>
          <w:bCs/>
          <w:lang w:val="el" w:eastAsia="el"/>
        </w:rPr>
        <w:t>Ι. ΓΡΑΦΕΙΟ ΥΠΟΥΡΓΟΥ</w:t>
      </w:r>
    </w:p>
    <w:p>
      <w:pPr>
        <w:pStyle w:val="PreambelText"/>
        <w:spacing w:before="240" w:after="240"/>
        <w:rPr>
          <w:lang w:val="el" w:eastAsia="el"/>
        </w:rPr>
      </w:pPr>
      <w:r>
        <w:rPr>
          <w:b/>
          <w:bCs/>
          <w:lang w:val="el" w:eastAsia="el"/>
        </w:rPr>
        <w:t>ΙΙ. ΓΡΑΦΕΙΟ ΥΦΥΠΟΥΡΓΟΥ</w:t>
      </w:r>
    </w:p>
    <w:p>
      <w:pPr>
        <w:pStyle w:val="PreambelText"/>
        <w:spacing w:before="240" w:after="240"/>
        <w:rPr>
          <w:lang w:val="el" w:eastAsia="el"/>
        </w:rPr>
      </w:pPr>
      <w:r>
        <w:rPr>
          <w:b/>
          <w:bCs/>
          <w:lang w:val="el" w:eastAsia="el"/>
        </w:rPr>
        <w:t>Αθήνα, 21/05/2024</w:t>
      </w:r>
    </w:p>
    <w:p>
      <w:pPr>
        <w:pStyle w:val="PreambelText"/>
        <w:spacing w:before="240" w:after="240"/>
        <w:rPr>
          <w:lang w:val="el" w:eastAsia="el"/>
        </w:rPr>
      </w:pPr>
      <w:r>
        <w:rPr>
          <w:b/>
          <w:bCs/>
          <w:lang w:val="el" w:eastAsia="el"/>
        </w:rPr>
        <w:t>Α.1083</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Δ/ΝΣΗ ΔΙΕΘΝΩΝ ΦΟΡΟΛΟΓΙΚΩΝ ΣΧΕΣΕΩΝ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ΔΙΕΘΝΟΥΣ ΔΙΟΙΚΗΤΙΚΗΣ ΣΥΝΕΡΓΑΣΙΑΣ ΣΤΟΝ ΤΟΜΕΑ ΤΗΣ ΦΟΡΟΛΟΓΙΑΣ</w:t>
      </w:r>
    </w:p>
    <w:p>
      <w:pPr>
        <w:spacing w:before="240" w:after="240"/>
        <w:rPr>
          <w:lang w:val="el" w:eastAsia="el"/>
        </w:rPr>
      </w:pPr>
      <w:r>
        <w:rPr>
          <w:b/>
          <w:bCs/>
          <w:lang w:val="el" w:eastAsia="el"/>
        </w:rPr>
        <w:t>Ταχ. Δ/νση : Καρ. Σερβίας 8, 101 84 Αθήνα</w:t>
      </w:r>
    </w:p>
    <w:p>
      <w:pPr>
        <w:spacing w:before="240" w:after="240"/>
        <w:rPr>
          <w:lang w:val="el" w:eastAsia="el"/>
        </w:rPr>
      </w:pPr>
      <w:r>
        <w:rPr>
          <w:b/>
          <w:bCs/>
          <w:lang w:val="el" w:eastAsia="el"/>
        </w:rPr>
        <w:t>Τηλέφωνο : 210 3375849</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 Δεύτερου του ν. 4490/2017 (Α΄ 150), για στοιχεία του φορολογικού έτους 2022.</w:t>
      </w:r>
    </w:p>
    <w:p>
      <w:pPr>
        <w:spacing w:before="240" w:after="240"/>
        <w:rPr>
          <w:lang w:val="el" w:eastAsia="el"/>
        </w:rPr>
      </w:pPr>
      <w:r>
        <w:rPr>
          <w:b/>
          <w:bCs/>
          <w:lang w:val="el" w:eastAsia="el"/>
        </w:rPr>
        <w:t>ΑΠΟΦΑΣΗΟ ΥΠΟΥΡΓΟΣ ΚΑΙ 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πρώτου εδαφίου της παρ. 1 του άρθρου όγδοου του Μέρους Δεύτερου του ν. 4490/2017 «Κύρωση της Πολυμερούς Συμφωνίας Αρμόδιων Αρχών για την Ανταλλαγή Εκθέσεων ανά Χώρα, διατάξεις εφαρμογής και λοιπές διατάξεις» (εφεξής ΠΣΑΑ) (Α΄150), β) των παρ 1, 2 και 3 του Τμήματος 8 της ΠΣΑΑ, όπως κυρώθηκε με το άρθρο πρώτο του Μέρους Πρώτου του ν. 4490/2017,</w:t>
      </w:r>
    </w:p>
    <w:p>
      <w:pPr>
        <w:pStyle w:val="StructureList1"/>
        <w:spacing w:before="120" w:after="0"/>
        <w:rPr>
          <w:lang w:val="el" w:eastAsia="el"/>
        </w:rPr>
      </w:pPr>
      <w:r>
        <w:rPr>
          <w:lang w:val="el" w:eastAsia="el"/>
        </w:rPr>
        <w:t>γ)</w:t>
      </w:r>
      <w:r>
        <w:rPr>
          <w:lang w:val="en" w:eastAsia="en"/>
        </w:rPr>
        <w:tab/>
      </w:r>
      <w:r>
        <w:rPr>
          <w:b/>
          <w:bCs/>
          <w:lang w:val="el" w:eastAsia="el"/>
        </w:rPr>
        <w:t>των παρ. 3 και 6 του άρθρου 28 και της παρ. 1 του άρθρου 32 της Σύμβασης του Συμβουλίου της Ευρώπης και του ΟΟΣΑ σχετικά με την Αμοιβαία Διοικητική Συνδρομή σε φορολογικά θέματα (εφεξής Σύμβαση) σε συνδυασμό με τις διατάξεις του άρθρου 6 της ίδιας Σύμβασης, όπως τροποποιήθηκε με το από 2010 Πρωτόκολλο Τροποποίησής της και κυρώθηκε με το άρθρο πρώτο του ν. 4153/2013 «Κύρωση της Σύμβασης του Συμβουλίου της Ευρώπης και του Οργανισμού Οικονομικής Συνεργασίας και Ανάπτυξης (Ο.Ο.Σ.Α.), με τα</w:t>
      </w:r>
    </w:p>
    <w:p>
      <w:pPr>
        <w:spacing w:before="240" w:after="240"/>
        <w:rPr>
          <w:lang w:val="el" w:eastAsia="el"/>
        </w:rPr>
      </w:pPr>
      <w:r>
        <w:rPr>
          <w:b/>
          <w:bCs/>
          <w:lang w:val="el" w:eastAsia="el"/>
        </w:rPr>
        <w:t>συναφή Παραρτήματα Α΄ και Β΄ σχετικά με την αμοιβαία διοικητική συνδρομή σε φορολογικά θέματα και του Πρωτοκόλλου Τροποποίησης αυτής» (Α΄ 116),</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ιδίως του άρθρου 14 αυτού, ε) του π.δ. 142/2017 «Οργανισμός του Υπουργείου Οικονομικών» (Α' 181),</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 ΟΡΓ. Α 1125859 ΕΞ 2020/23-10-2020 απόφασης του Διοικητή της ΑΑΔΕ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 xml:space="preserve">3. </w:t>
      </w:r>
      <w:r>
        <w:rPr>
          <w:b/>
          <w:bCs/>
          <w:lang w:val="el" w:eastAsia="el"/>
        </w:rPr>
        <w:t>Το π.δ. 82/2023 « Μετονομασία Υπουργείου- Σύσταση και μετονομασία Γενικών Γραμματειών – Μεταφορά αρμοδιοτήτων, υπηρεσιακών μονάδων και θέσεων προσωπικού- Τροποποίηση και συμπλήρωση του π.δ. 77/2023 (A΄130)- Μεταβατικές διατάξεις» (Α’ 139).</w:t>
      </w:r>
    </w:p>
    <w:p>
      <w:pPr>
        <w:spacing w:before="240" w:after="240"/>
        <w:rPr>
          <w:lang w:val="el" w:eastAsia="el"/>
        </w:rPr>
      </w:pPr>
      <w:r>
        <w:rPr>
          <w:lang w:val="el" w:eastAsia="el"/>
        </w:rPr>
        <w:t xml:space="preserve">4.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5.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xml:space="preserve">6.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και την υπό στοιχεία Δ6Α 1145867 ΕΞ2013/25.9.2013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 2417),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7.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8. </w:t>
      </w:r>
      <w:r>
        <w:rPr>
          <w:b/>
          <w:bCs/>
          <w:lang w:val="el" w:eastAsia="el"/>
        </w:rPr>
        <w:t>Τις υπό στοιχεία ΠΟΛ 1111/2018 (Β’ 2265), Α 1117/2019 (Β’ 1297), Α 1124/2020 (Β’ 2328), A 1092/2021 (Β’ 1723), A 1051/2022 (Β’ 2106), A 1043/2023 (Β’ 2212), υπουργικές Αποφάσεις για τον καθορισμό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για στοιχεία φορολογικών ετών 2016-2021.</w:t>
      </w:r>
    </w:p>
    <w:p>
      <w:pPr>
        <w:spacing w:before="240" w:after="240"/>
        <w:rPr>
          <w:lang w:val="el" w:eastAsia="el"/>
        </w:rPr>
      </w:pPr>
      <w:r>
        <w:rPr>
          <w:lang w:val="el" w:eastAsia="el"/>
        </w:rPr>
        <w:t xml:space="preserve">9. </w:t>
      </w:r>
      <w:r>
        <w:rPr>
          <w:b/>
          <w:bCs/>
          <w:lang w:val="el" w:eastAsia="el"/>
        </w:rPr>
        <w:t>Την από 29.06.2017 γνωστοποίηση της Ελληνικής Δημοκρατίας βάσει της υποπερ. β) της περ. ε΄ της παρ. 1 του Τμήματος 8 της ΠΣΑΑ προς τη Γραμματεία Συντονιστικού Οργάνου της Σύμβασης, σχετικά με τη Δήλωση από την Αρμόδια Αρχή της Ελληνικής Δημοκρατίας ότι προτίθεται να θέσει σε ισχύ και εφαρμογή την ΠΣΑΑ με όλες τις άλλες Αρμόδιες Αρχές, οι οποίες υποβάλλουν τη γνωστοποίηση σύμφωνα με την περ. ε΄ της παρ. 1 του Τμήματος 8 αυτής.</w:t>
      </w:r>
    </w:p>
    <w:p>
      <w:pPr>
        <w:spacing w:before="240" w:after="240"/>
        <w:rPr>
          <w:lang w:val="el" w:eastAsia="el"/>
        </w:rPr>
      </w:pPr>
      <w:r>
        <w:rPr>
          <w:lang w:val="el" w:eastAsia="el"/>
        </w:rPr>
        <w:t xml:space="preserve">10. </w:t>
      </w:r>
      <w:r>
        <w:rPr>
          <w:b/>
          <w:bCs/>
          <w:lang w:val="el" w:eastAsia="el"/>
        </w:rPr>
        <w:t>Τις γνωστοποιήσεις της παρ. 1 του Τμήματος 8 της ΠΣΑΑ, όπως έχουν υποβληθεί στη Γραμματεία Συντονιστικού Οργάνου της Σύμβασης από τις άλλες δικαιοδοσίες με τις οποίες η ΠΣΑΑ έχει τεθεί σε ισχύ και εφαρμογή έναντι της Ελλάδας.</w:t>
      </w:r>
    </w:p>
    <w:p>
      <w:pPr>
        <w:spacing w:before="240" w:after="240"/>
        <w:rPr>
          <w:lang w:val="el" w:eastAsia="el"/>
        </w:rPr>
      </w:pPr>
      <w:r>
        <w:rPr>
          <w:lang w:val="el" w:eastAsia="el"/>
        </w:rPr>
        <w:t xml:space="preserve">11. </w:t>
      </w:r>
      <w:r>
        <w:rPr>
          <w:b/>
          <w:bCs/>
          <w:lang w:val="el" w:eastAsia="el"/>
        </w:rPr>
        <w:t xml:space="preserve">Τους κάτωθι δημοσιευμένους καταλόγους, όπως αυτοί επικαιροποιούνται και ισχύουν: α) του ΟΟΣΑ σχετικά με τις Δικαιοδοσίες που έχουν υπογράψει την ΠΣΑΑ (ημ/νία τελευταίας ενημέρωσης καταλόγου: 5 Σεπτεμβρίου 2023) </w:t>
      </w:r>
      <w:hyperlink r:id="rId6" w:history="1">
        <w:r>
          <w:rPr>
            <w:rStyle w:val="Hyperlink"/>
            <w:color w:val="0000EE"/>
            <w:u w:color="0000EE"/>
            <w:lang w:val="el" w:eastAsia="el"/>
          </w:rPr>
          <w:t>https://www.oecd.org/ctp/exchange-of--tax-inf-ormaion/CbC-MCAA-Signatories.pdf-</w:t>
        </w:r>
        <w:r>
          <w:rPr>
            <w:rStyle w:val="Hyperlink"/>
            <w:color w:val="0000EE"/>
            <w:u w:color="0000EE"/>
            <w:lang w:val="el" w:eastAsia="el"/>
          </w:rPr>
          <w:t>,</w:t>
        </w:r>
      </w:hyperlink>
      <w:r>
        <w:rPr>
          <w:b/>
          <w:bCs/>
          <w:lang w:val="el" w:eastAsia="el"/>
        </w:rPr>
        <w:t xml:space="preserve">β) του ΟΟΣΑ σχετικά με τις Δικαιοδοσίες της ΠΣΑΑ με ενεργοποιημένες σχέσεις ανταλλαγής των Εκθέσεων ανά Χώρα (ΕαΧ) (ημ/νία τελευταίας ενημέρωσης καταλόγου: 13 Φεβρουαρίου 2024) </w:t>
      </w:r>
      <w:hyperlink r:id="rId7" w:history="1">
        <w:r>
          <w:rPr>
            <w:rStyle w:val="Hyperlink"/>
            <w:color w:val="0000EE"/>
            <w:u w:color="0000EE"/>
            <w:lang w:val="el" w:eastAsia="el"/>
          </w:rPr>
          <w:t>https://www.oecd.org/tax/beps/country-by-country-exchange-relaaionships.htm</w:t>
        </w:r>
        <w:r>
          <w:rPr>
            <w:rStyle w:val="Hyperlink"/>
            <w:color w:val="0000EE"/>
            <w:u w:color="0000EE"/>
            <w:lang w:val="el" w:eastAsia="el"/>
          </w:rPr>
          <w:t>,</w:t>
        </w:r>
      </w:hyperlink>
      <w:r>
        <w:rPr>
          <w:b/>
          <w:bCs/>
          <w:lang w:val="el" w:eastAsia="el"/>
        </w:rPr>
        <w:t xml:space="preserve">γ) του Συμβουλίου της Ευρώπης και του ΟΟΣΑ σχετικά με τις συμμετέχουσες Δικαιοδοσίες στη Σύμβαση (ημ/νία τελευταίας ενημέρωσης καταλόγου: 13 Σεπτεμβρίου 2023) </w:t>
      </w:r>
      <w:hyperlink r:id="rId8" w:history="1">
        <w:r>
          <w:rPr>
            <w:rStyle w:val="Hyperlink"/>
            <w:color w:val="0000EE"/>
            <w:u w:color="0000EE"/>
            <w:lang w:val="el" w:eastAsia="el"/>
          </w:rPr>
          <w:t>https://www.oecd.org/tax/exchange-of--tax-inf-ormaion/Status_of-_convenion.pdf-</w:t>
        </w:r>
        <w:r>
          <w:rPr>
            <w:rStyle w:val="Hyperlink"/>
            <w:color w:val="0000EE"/>
            <w:u w:color="0000EE"/>
            <w:lang w:val="el" w:eastAsia="el"/>
          </w:rPr>
          <w:t>,</w:t>
        </w:r>
      </w:hyperlink>
      <w:r>
        <w:rPr>
          <w:b/>
          <w:bCs/>
          <w:lang w:val="el" w:eastAsia="el"/>
        </w:rPr>
        <w:t xml:space="preserve">δ) του Συμβουλίου της Ευρώπης και του ΟΟΣΑ σχετικά με τις Επιφυλάξεις των Δικαιοδοσιών επί της Σύμβασης (ημ/νία τελευταίας ενημέρωσης καταλόγου: 23 Φεβρουαρίου 2024) </w:t>
      </w:r>
      <w:hyperlink r:id="rId9" w:history="1">
        <w:r>
          <w:rPr>
            <w:rStyle w:val="Hyperlink"/>
            <w:color w:val="0000EE"/>
            <w:u w:color="0000EE"/>
            <w:lang w:val="el" w:eastAsia="el"/>
          </w:rPr>
          <w:t>https://www.coe.int/en/web/convenions/f-ulala-laist?modulae=declaaraions-by-</w:t>
        </w:r>
      </w:hyperlink>
      <w:hyperlink r:id="rId10" w:history="1">
        <w:r>
          <w:rPr>
            <w:rStyle w:val="Hyperlink"/>
            <w:color w:val="0000EE"/>
            <w:u w:color="0000EE"/>
            <w:lang w:val="el" w:eastAsia="el"/>
          </w:rPr>
          <w:t>treaty&amp;numSte=127&amp;codeNature=0</w:t>
        </w:r>
      </w:hyperlink>
    </w:p>
    <w:p>
      <w:pPr>
        <w:spacing w:before="240" w:after="240"/>
        <w:rPr>
          <w:lang w:val="el" w:eastAsia="el"/>
        </w:rPr>
      </w:pPr>
      <w:r>
        <w:rPr>
          <w:u w:val="single"/>
          <w:lang w:val="el" w:eastAsia="el"/>
        </w:rPr>
        <w:t xml:space="preserve">12. </w:t>
      </w:r>
      <w:r>
        <w:rPr>
          <w:b/>
          <w:bCs/>
          <w:u w:val="single"/>
          <w:lang w:val="el" w:eastAsia="el"/>
        </w:rPr>
        <w:t>Τη διασφάλιση των όρων της αμοιβαιότητας για την ανταλλαγή των ΕαΧ.</w:t>
      </w:r>
    </w:p>
    <w:p>
      <w:pPr>
        <w:spacing w:before="240" w:after="240"/>
        <w:rPr>
          <w:lang w:val="el" w:eastAsia="el"/>
        </w:rPr>
      </w:pPr>
      <w:r>
        <w:rPr>
          <w:u w:val="single"/>
          <w:lang w:val="el" w:eastAsia="el"/>
        </w:rPr>
        <w:t xml:space="preserve">13. </w:t>
      </w:r>
      <w:r>
        <w:rPr>
          <w:b/>
          <w:bCs/>
          <w:u w:val="single"/>
          <w:lang w:val="el" w:eastAsia="el"/>
        </w:rPr>
        <w:t>Την εισήγηση της Διεύθυνσης Διεθνών Φορολογικών Σχέσεων (ΔΔΦΟΣ) της Γενικής Διεύθυνσης Φορολογίας της ΑΑΔΕ ως Αρμόδιας Αρχής δυνάμει της περ. ια΄ της παρ. 1 του άρθρου δεύτερου του ν. 4490/2017.</w:t>
      </w:r>
    </w:p>
    <w:p>
      <w:pPr>
        <w:spacing w:before="240" w:after="240"/>
        <w:rPr>
          <w:lang w:val="el" w:eastAsia="el"/>
        </w:rPr>
      </w:pPr>
      <w:r>
        <w:rPr>
          <w:u w:val="single"/>
          <w:lang w:val="el" w:eastAsia="el"/>
        </w:rPr>
        <w:t xml:space="preserve">14. </w:t>
      </w:r>
      <w:r>
        <w:rPr>
          <w:b/>
          <w:bCs/>
          <w:u w:val="single"/>
          <w:lang w:val="el" w:eastAsia="el"/>
        </w:rPr>
        <w:t>Την ανάγκη ρύθμισης όλων των σχετικών θεμάτων προκειμένου να εφαρμοστεί ομαλά και απρόσκοπτα το πλαίσιο της αυτόματης ανταλλαγής των ΕαΧ.</w:t>
      </w:r>
    </w:p>
    <w:p>
      <w:pPr>
        <w:spacing w:before="240" w:after="240"/>
        <w:rPr>
          <w:lang w:val="el" w:eastAsia="el"/>
        </w:rPr>
      </w:pPr>
      <w:r>
        <w:rPr>
          <w:u w:val="single"/>
          <w:lang w:val="el" w:eastAsia="el"/>
        </w:rPr>
        <w:t xml:space="preserve">15.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1Κατάλογος Δικαιοδοσιών με τις οποίες τίθεται σε ισχύ και εφαρμογή η ΠΣΑΑ</w:t>
      </w:r>
    </w:p>
    <w:p>
      <w:pPr>
        <w:spacing w:before="240" w:after="240"/>
        <w:rPr>
          <w:lang w:val="el" w:eastAsia="el"/>
        </w:rPr>
      </w:pPr>
      <w:r>
        <w:rPr>
          <w:b/>
          <w:bCs/>
          <w:u w:val="single"/>
          <w:lang w:val="el" w:eastAsia="el"/>
        </w:rPr>
        <w:t>Ορίζεται ο κατάλογος των Δικαιοδοσιών με τις οποίες τίθεται σε ισχύ και εφαρμογή η ΠΣΑΑ για την ανταλλαγή των ΕαΧ, αναφορικά με το φορολογικό έτος 2022, ως προς το έτος ανταλλαγής 2024:</w:t>
      </w:r>
    </w:p>
    <w:p>
      <w:pPr>
        <w:spacing w:before="240" w:after="240"/>
        <w:rPr>
          <w:lang w:val="el" w:eastAsia="el"/>
        </w:rPr>
      </w:pPr>
      <w:r>
        <w:rPr>
          <w:b/>
          <w:bCs/>
          <w:u w:val="single"/>
          <w:lang w:val="el" w:eastAsia="el"/>
        </w:rPr>
        <w:t>A. ΠΙΝΑΚΑΣ ΔΙΚΑΙΟΔΟΣΙΩΝ ΜΕ ΤΙΣ ΟΠΟΙΕΣ Η ΕΛΛΑΔΑ ΕΦΑΡΜΟΖΕΙ ΑΜΟΙΒΑΙΑ ΣΧΕΣΗ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
        <w:gridCol w:w="2175"/>
        <w:gridCol w:w="2073"/>
        <w:gridCol w:w="2368"/>
        <w:gridCol w:w="2122"/>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ΑΝΤΑΛΛΑΓΗΣ ΕΚΘΕΣΕΩΝ ΑΝΑ ΧΩΡΑ ΩΣ ΠΡΟΣ ΤΟ ΕΤΟΣ ΑΝΤΑΛΛΑΓΗΣ 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San Marino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Αγίου Μαρίνου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Andorra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Πριγκιπάτο της Ανδόρας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Ελβετική 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 της Μεγάλης Βρετανίας και της Βόρειας 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Kenya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Κένυας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Maldives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MU</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242"/>
        <w:gridCol w:w="2142"/>
        <w:gridCol w:w="2692"/>
        <w:gridCol w:w="1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Monaco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Πριγκιπάτο του 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Κάτω Χώρες (σχετικά με τις νήσους Μποναίρ,</w:t>
            </w:r>
          </w:p>
          <w:p>
            <w:pPr>
              <w:spacing w:before="240"/>
              <w:rPr>
                <w:b w:val="0"/>
                <w:bCs w:val="0"/>
                <w:i w:val="0"/>
                <w:iCs w:val="0"/>
                <w:smallCaps w:val="0"/>
                <w:color w:val="000000"/>
                <w:lang w:val="el" w:eastAsia="el"/>
              </w:rPr>
            </w:pPr>
            <w:r>
              <w:rPr>
                <w:b/>
                <w:bCs/>
                <w:i w:val="0"/>
                <w:iCs w:val="0"/>
                <w:smallCaps w:val="0"/>
                <w:color w:val="000000"/>
                <w:lang w:val="el" w:eastAsia="el"/>
              </w:rPr>
              <w:t>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Netherlands (inrespect to BQ ISO code territories: the islands of Bonaire,</w:t>
            </w:r>
          </w:p>
          <w:p>
            <w:pPr>
              <w:spacing w:before="240"/>
              <w:rPr>
                <w:b w:val="0"/>
                <w:bCs w:val="0"/>
                <w:i w:val="0"/>
                <w:iCs w:val="0"/>
                <w:smallCaps w:val="0"/>
                <w:color w:val="000000"/>
                <w:lang w:val="el" w:eastAsia="el"/>
              </w:rPr>
            </w:pPr>
            <w:r>
              <w:rPr>
                <w:b/>
                <w:bCs/>
                <w:i w:val="0"/>
                <w:iCs w:val="0"/>
                <w:smallCaps w:val="0"/>
                <w:color w:val="000000"/>
                <w:lang w:val="el" w:eastAsia="el"/>
              </w:rPr>
              <w:t>Sint Eustatius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NL</w:t>
            </w:r>
          </w:p>
          <w:p>
            <w:pPr>
              <w:spacing w:before="240"/>
              <w:rPr>
                <w:b w:val="0"/>
                <w:bCs w:val="0"/>
                <w:i w:val="0"/>
                <w:iCs w:val="0"/>
                <w:smallCaps w:val="0"/>
                <w:color w:val="000000"/>
                <w:lang w:val="el" w:eastAsia="el"/>
              </w:rPr>
            </w:pPr>
            <w:r>
              <w:rPr>
                <w:b/>
                <w:bCs/>
                <w:i w:val="0"/>
                <w:iCs w:val="0"/>
                <w:smallCaps w:val="0"/>
                <w:color w:val="000000"/>
                <w:lang w:val="el" w:eastAsia="el"/>
              </w:rPr>
              <w:t>(νήσοι Μπον Άγιος Ευστάθιο και Σάμπα με κωδικό 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Ομοσπονδιακή</w:t>
            </w:r>
          </w:p>
          <w:p>
            <w:pPr>
              <w:spacing w:before="240"/>
              <w:rPr>
                <w:b w:val="0"/>
                <w:bCs w:val="0"/>
                <w:i w:val="0"/>
                <w:iCs w:val="0"/>
                <w:smallCaps w:val="0"/>
                <w:color w:val="000000"/>
                <w:lang w:val="el" w:eastAsia="el"/>
              </w:rPr>
            </w:pPr>
            <w:r>
              <w:rPr>
                <w:b/>
                <w:bCs/>
                <w:i w:val="0"/>
                <w:iCs w:val="0"/>
                <w:smallCaps w:val="0"/>
                <w:color w:val="000000"/>
                <w:lang w:val="el" w:eastAsia="el"/>
              </w:rPr>
              <w:t>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Ανατολική</w:t>
            </w:r>
          </w:p>
          <w:p>
            <w:pPr>
              <w:spacing w:before="240"/>
              <w:rPr>
                <w:b w:val="0"/>
                <w:bCs w:val="0"/>
                <w:i w:val="0"/>
                <w:iCs w:val="0"/>
                <w:smallCaps w:val="0"/>
                <w:color w:val="000000"/>
                <w:lang w:val="el" w:eastAsia="el"/>
              </w:rPr>
            </w:pPr>
            <w:r>
              <w:rPr>
                <w:b/>
                <w:bCs/>
                <w:i w:val="0"/>
                <w:iCs w:val="0"/>
                <w:smallCaps w:val="0"/>
                <w:color w:val="000000"/>
                <w:lang w:val="el" w:eastAsia="el"/>
              </w:rPr>
              <w:t>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Σαουδικής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ςSA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Σιγκαπούρης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Ταϊλάνδης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Χονγκ Κονγκ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Hong Kong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HK</w:t>
            </w:r>
          </w:p>
        </w:tc>
      </w:tr>
    </w:tbl>
    <w:p>
      <w:pPr>
        <w:spacing w:before="240" w:after="240"/>
        <w:rPr>
          <w:lang w:val="el" w:eastAsia="el"/>
        </w:rPr>
      </w:pPr>
      <w:r>
        <w:rPr>
          <w:b/>
          <w:bCs/>
          <w:u w:val="single"/>
          <w:lang w:val="el" w:eastAsia="el"/>
        </w:rPr>
        <w:t>Β. ΠΙΝΑΚΑΣ ΔΙΚΑΙΟΔΟΣΙΩΝ ΑΠΟ ΤΙΣ ΟΠΟΙΕΣ Η ΕΛΛΑΔΑ ΛΑΜΒΑΝΕΙ (ΜΗ ΑΜΟΙΒΑΙΑ ΣΧΕΣΗ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43"/>
        <w:gridCol w:w="1780"/>
        <w:gridCol w:w="27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ΑΝΤΑΛΛΑΓΗΣ) ΕΚΘΕΣΕΙΣ ΑΝΑ ΧΩΡΑ ΩΣ ΠΡΟΣ ΤΟ ΕΤΟΣ ΑΝΤΑΛΛΑΓΗΣ 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Anquilla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Ειδική Διοικητική Περιοχή Μακάο της Λαϊκής</w:t>
            </w:r>
          </w:p>
          <w:p>
            <w:pPr>
              <w:spacing w:before="240"/>
              <w:rPr>
                <w:b w:val="0"/>
                <w:bCs w:val="0"/>
                <w:i w:val="0"/>
                <w:iCs w:val="0"/>
                <w:smallCaps w:val="0"/>
                <w:color w:val="000000"/>
                <w:lang w:val="el" w:eastAsia="el"/>
              </w:rPr>
            </w:pPr>
            <w:r>
              <w:rPr>
                <w:b/>
                <w:bCs/>
                <w:i w:val="0"/>
                <w:iCs w:val="0"/>
                <w:smallCaps w:val="0"/>
                <w:color w:val="000000"/>
                <w:lang w:val="el" w:eastAsia="el"/>
              </w:rPr>
              <w:t>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Παπούα-Νέα Γουινέα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Papua New Guinea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Ανεξάρτητο Κράτος Της Παπούας Νέας Γουινέας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Tunisia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Τυνησίας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ΚΩΝΣΤΑΝΤΙΝΟΣ ΧΑΤΖΗΔΑΚΗΣ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Εθνικό Τυπογραφείο (στην ηλεκτρονική διεύθυνση</w:t>
      </w:r>
      <w:hyperlink r:id="rId11" w:history="1">
        <w:r>
          <w:rPr>
            <w:rStyle w:val="Hyperlink"/>
            <w:b/>
            <w:bCs/>
            <w:color w:val="0000EE"/>
            <w:u w:color="0000EE"/>
            <w:lang w:val="el" w:eastAsia="el"/>
          </w:rPr>
          <w:t>webmaster.et@et.gr</w:t>
        </w:r>
      </w:hyperlink>
      <w:r>
        <w:rPr>
          <w:b/>
          <w:bCs/>
          <w:u w:val="single"/>
          <w:lang w:val="el" w:eastAsia="el"/>
        </w:rPr>
        <w:t>), για δημοσίευση της απόφασης</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κ. Υπουργού Εθνικής Οικονομίας και Οικονομικών</w:t>
      </w:r>
    </w:p>
    <w:p>
      <w:pPr>
        <w:spacing w:before="240" w:after="240"/>
        <w:rPr>
          <w:lang w:val="el" w:eastAsia="el"/>
        </w:rPr>
      </w:pPr>
      <w:r>
        <w:rPr>
          <w:b/>
          <w:bCs/>
          <w:u w:val="single"/>
          <w:lang w:val="el" w:eastAsia="el"/>
        </w:rPr>
        <w:t xml:space="preserve">2. </w:t>
      </w:r>
      <w:r>
        <w:rPr>
          <w:b/>
          <w:bCs/>
          <w:u w:val="single"/>
          <w:lang w:val="el" w:eastAsia="el"/>
        </w:rPr>
        <w:t>Γραφείο κ. Υφυπουργού Εθνικής Οικονομίας και Οικονομικών</w:t>
      </w:r>
    </w:p>
    <w:p>
      <w:pPr>
        <w:spacing w:before="240" w:after="240"/>
        <w:rPr>
          <w:lang w:val="el" w:eastAsia="el"/>
        </w:rPr>
      </w:pPr>
      <w:r>
        <w:rPr>
          <w:b/>
          <w:bCs/>
          <w:u w:val="single"/>
          <w:lang w:val="el" w:eastAsia="el"/>
        </w:rPr>
        <w:t xml:space="preserve">3. </w:t>
      </w:r>
      <w:r>
        <w:rPr>
          <w:b/>
          <w:bCs/>
          <w:u w:val="single"/>
          <w:lang w:val="el" w:eastAsia="el"/>
        </w:rPr>
        <w:t>Γραφείο κας Γεν.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Γραφείο Πρ. Γενικής Δ/νσης Φορολογίας ΑΑΔΕ</w:t>
      </w:r>
    </w:p>
    <w:p>
      <w:pPr>
        <w:spacing w:before="240" w:after="240"/>
        <w:rPr>
          <w:lang w:val="el" w:eastAsia="el"/>
        </w:rPr>
      </w:pPr>
      <w:r>
        <w:rPr>
          <w:b/>
          <w:bCs/>
          <w:u w:val="single"/>
          <w:lang w:val="el" w:eastAsia="el"/>
        </w:rPr>
        <w:t xml:space="preserve">3. </w:t>
      </w:r>
      <w:r>
        <w:rPr>
          <w:b/>
          <w:bCs/>
          <w:u w:val="single"/>
          <w:lang w:val="el" w:eastAsia="el"/>
        </w:rPr>
        <w:t>Γραφείο Πρ. Γενικής Δ/νσης Ηλεκτρονικής Διακυβέρνησης ΑΑΔΕ</w:t>
      </w:r>
    </w:p>
    <w:p>
      <w:pPr>
        <w:spacing w:before="240" w:after="240"/>
        <w:rPr>
          <w:lang w:val="el" w:eastAsia="el"/>
        </w:rPr>
      </w:pPr>
      <w:r>
        <w:rPr>
          <w:b/>
          <w:bCs/>
          <w:u w:val="single"/>
          <w:lang w:val="el" w:eastAsia="el"/>
        </w:rPr>
        <w:t xml:space="preserve">4. </w:t>
      </w:r>
      <w:r>
        <w:rPr>
          <w:b/>
          <w:bCs/>
          <w:u w:val="single"/>
          <w:lang w:val="el" w:eastAsia="el"/>
        </w:rPr>
        <w:t>Γραφείο Πρ. Γενικής Δ/νσης Φορολογικών Λειτουργιών</w:t>
      </w:r>
    </w:p>
    <w:p>
      <w:pPr>
        <w:spacing w:before="240" w:after="240"/>
        <w:rPr>
          <w:lang w:val="el" w:eastAsia="el"/>
        </w:rPr>
      </w:pPr>
      <w:r>
        <w:rPr>
          <w:b/>
          <w:bCs/>
          <w:u w:val="single"/>
          <w:lang w:val="el" w:eastAsia="el"/>
        </w:rPr>
        <w:t xml:space="preserve">5. </w:t>
      </w:r>
      <w:r>
        <w:rPr>
          <w:b/>
          <w:bCs/>
          <w:u w:val="single"/>
          <w:lang w:val="el" w:eastAsia="el"/>
        </w:rPr>
        <w:t>Δ/νση Διεθνών Φορολογικών Σχέσεων, Τμήμα Β’ ΑΑΔΕ</w:t>
      </w:r>
    </w:p>
    <w:p>
      <w:pPr>
        <w:spacing w:before="240" w:after="240"/>
        <w:rPr>
          <w:lang w:val="el" w:eastAsia="el"/>
        </w:rPr>
      </w:pPr>
      <w:r>
        <w:rPr>
          <w:b/>
          <w:bCs/>
          <w:u w:val="single"/>
          <w:lang w:val="el" w:eastAsia="el"/>
        </w:rPr>
        <w:t xml:space="preserve">6. </w:t>
      </w:r>
      <w:r>
        <w:rPr>
          <w:b/>
          <w:bCs/>
          <w:u w:val="single"/>
          <w:lang w:val="el" w:eastAsia="el"/>
        </w:rPr>
        <w:t>Δ/νση Νομικής Υποστήριξης ΑΑΔΕ</w:t>
      </w:r>
    </w:p>
    <w:p>
      <w:pPr>
        <w:spacing w:before="240" w:after="240"/>
        <w:rPr>
          <w:lang w:val="el" w:eastAsia="el"/>
        </w:rPr>
      </w:pPr>
      <w:r>
        <w:rPr>
          <w:b/>
          <w:bCs/>
          <w:u w:val="single"/>
          <w:lang w:val="el" w:eastAsia="el"/>
        </w:rPr>
        <w:t xml:space="preserve">7. </w:t>
      </w:r>
      <w:r>
        <w:rPr>
          <w:b/>
          <w:bCs/>
          <w:u w:val="single"/>
          <w:lang w:val="el" w:eastAsia="el"/>
        </w:rPr>
        <w:t>Δ/νση Επικοινωνίας ΑΑΔΕ</w:t>
      </w:r>
    </w:p>
    <w:p>
      <w:pPr>
        <w:spacing w:before="240" w:after="240"/>
        <w:rPr>
          <w:lang w:val="el" w:eastAsia="el"/>
        </w:rPr>
      </w:pPr>
      <w:r>
        <w:rPr>
          <w:b/>
          <w:bCs/>
          <w:u w:val="single"/>
          <w:lang w:val="el" w:eastAsia="el"/>
        </w:rPr>
        <w:t xml:space="preserve">8. </w:t>
      </w:r>
      <w:r>
        <w:rPr>
          <w:b/>
          <w:bCs/>
          <w:u w:val="single"/>
          <w:lang w:val="el" w:eastAsia="el"/>
        </w:rPr>
        <w:t>Δ/νση Εξυπηρέτησης</w:t>
      </w:r>
    </w:p>
    <w:p>
      <w:pPr>
        <w:spacing w:before="240" w:after="240"/>
        <w:rPr>
          <w:lang w:val="el" w:eastAsia="el"/>
        </w:rPr>
      </w:pPr>
      <w:r>
        <w:rPr>
          <w:b/>
          <w:bCs/>
          <w:u w:val="single"/>
          <w:lang w:val="el" w:eastAsia="el"/>
        </w:rPr>
        <w:t xml:space="preserve">9. </w:t>
      </w:r>
      <w:r>
        <w:rPr>
          <w:b/>
          <w:bCs/>
          <w:u w:val="single"/>
          <w:lang w:val="el" w:eastAsia="el"/>
        </w:rPr>
        <w:t>Δ/νση Ελεγκτικών Διαδικασιών</w:t>
      </w:r>
    </w:p>
    <w:p>
      <w:pPr>
        <w:spacing w:before="240" w:after="240"/>
        <w:rPr>
          <w:lang w:val="el" w:eastAsia="el"/>
        </w:rPr>
      </w:pPr>
      <w:r>
        <w:rPr>
          <w:b/>
          <w:bCs/>
          <w:u w:val="single"/>
          <w:lang w:val="el" w:eastAsia="el"/>
        </w:rPr>
        <w:t xml:space="preserve">10. </w:t>
      </w:r>
      <w:r>
        <w:rPr>
          <w:b/>
          <w:bCs/>
          <w:u w:val="single"/>
          <w:lang w:val="el" w:eastAsia="el"/>
        </w:rPr>
        <w:t>Δ/νση Επιχειρησιακού Σχεδιασμού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e.int/en/web/conventions/full-list?module=declarations-by-treaty&amp;numSte=127&amp;codeNature=0" TargetMode="External" /><Relationship Id="rId11" Type="http://schemas.openxmlformats.org/officeDocument/2006/relationships/hyperlink" Target="mailto:webmaster.et@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https://www.oecd.org/ctp/exchange-of-tax-information/CbC-MCAA-Signatories.pdf" TargetMode="External" /><Relationship Id="rId7" Type="http://schemas.openxmlformats.org/officeDocument/2006/relationships/hyperlink" Target="https://www.oecd.org/tax/beps/country-by-country-exchange-relationships.htm" TargetMode="External" /><Relationship Id="rId8" Type="http://schemas.openxmlformats.org/officeDocument/2006/relationships/hyperlink" Target="https://www.oecd.org/tax/exchange-of-tax-information/Status_of_convention.pdf" TargetMode="External" /><Relationship Id="rId9" Type="http://schemas.openxmlformats.org/officeDocument/2006/relationships/hyperlink" Target="https://www.coe.int/en/web/conventions/full-list?module=declarations-by-treaty&amp;numSte=127&amp;codeNature=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