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Πανεπιστημίου 20</w:t>
      </w:r>
    </w:p>
    <w:p>
      <w:pPr>
        <w:pStyle w:val="Title"/>
        <w:spacing w:before="120" w:after="360"/>
        <w:rPr>
          <w:lang w:val="el" w:eastAsia="el"/>
        </w:rPr>
      </w:pPr>
      <w:r>
        <w:rPr>
          <w:b/>
          <w:bCs/>
          <w:lang w:val="el" w:eastAsia="el"/>
        </w:rPr>
        <w:t>106 72</w:t>
      </w:r>
    </w:p>
    <w:p>
      <w:pPr>
        <w:pStyle w:val="Title"/>
        <w:spacing w:before="120" w:after="360"/>
        <w:rPr>
          <w:lang w:val="el" w:eastAsia="el"/>
        </w:rPr>
      </w:pPr>
      <w:r>
        <w:rPr>
          <w:b/>
          <w:bCs/>
          <w:lang w:val="el" w:eastAsia="el"/>
        </w:rPr>
        <w:t>210-3635007</w:t>
      </w:r>
    </w:p>
    <w:p>
      <w:pPr>
        <w:pStyle w:val="Title"/>
        <w:spacing w:before="120" w:after="36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u w:val="single"/>
          <w:lang w:val="el" w:eastAsia="el"/>
        </w:rPr>
        <w:t>Β. ΓΕΝΙΚΗ ΔΙΕΥΘΥΝΣΗ ΤΕΛΩΝΕΙΩΝ &amp; Ε.Φ.Κ. ΔΙΕΥΘΥΝΣΗ ΤΕΛΩΝΕΙΑΚΩΝ ΔΙΑΔΙΚΑΣΙΩΝ ΤΜΗΜΑ Δ'</w:t>
      </w:r>
    </w:p>
    <w:p>
      <w:pPr>
        <w:pStyle w:val="Title"/>
        <w:spacing w:before="120" w:after="360"/>
        <w:rPr>
          <w:lang w:val="el" w:eastAsia="el"/>
        </w:rPr>
      </w:pPr>
      <w:r>
        <w:rPr>
          <w:b/>
          <w:bCs/>
          <w:u w:val="single"/>
          <w:lang w:val="el" w:eastAsia="el"/>
        </w:rPr>
        <w:t>Θέμα: «Ανακαθορισμός του χρόνου επικαιροποίησης των δημοσιοποιημένων καταστάσεων ληξιπρόθεσμων οφειλών για το έτος 2024»</w:t>
      </w:r>
    </w:p>
    <w:p>
      <w:pPr>
        <w:pStyle w:val="enacting"/>
        <w:spacing w:before="120" w:after="0"/>
        <w:rPr>
          <w:lang w:val="el" w:eastAsia="el"/>
        </w:rPr>
      </w:pPr>
      <w:r>
        <w:rPr>
          <w:b/>
          <w:bCs/>
          <w:u w:val="single"/>
          <w:lang w:val="el" w:eastAsia="el"/>
        </w:rPr>
        <w:t>ΑΠΟΦΑΣΗΟΙ ΥΦΥΠΟΥΡΓΟΙ ΕΘΝΙΚΗΣ ΟΙΚΟΝΟΜΙΑΣ ΚΑΙ ΟΙΚΟΝΟΜΙΚΩΝ -ΕΡΓΑΣΙΑΣ ΚΑΙ ΚΟΙΝΩΝΙΚΗΣ ΑΣΦΑΛΙΣΗΣ</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παρ. 1, 2 και 4 του άρθρου 9 του ν.3943/2011 «Καταπολέμηση της φοροδιαφυγής, στελέχωση των ελεγκτικών υπηρεσιών και άλλες διατάξεις αρμοδιότητας Υπουργείου Οικονομικών» (Α΄ 66), όπως αντικαταστάθηκαν με το άρθρο 42 του ν.4410/2016 (Α΄ 141), β) της περ. iv) της υποπαρ. 2.3 της παρ. Γ του άρθρου 3 του ν.4336/2015 «Συνταξιοδοτικές διατάξεις - Κύρωση του Σχεδίου Σύμβασης Οικονομικής Ενίσχυσης από τον Ευρωπαϊκό</w:t>
      </w:r>
    </w:p>
    <w:p>
      <w:pPr>
        <w:pStyle w:val="PreambelText"/>
        <w:spacing w:before="240" w:after="240"/>
        <w:rPr>
          <w:lang w:val="el" w:eastAsia="el"/>
        </w:rPr>
      </w:pPr>
      <w:r>
        <w:rPr>
          <w:b/>
          <w:bCs/>
          <w:u w:val="single"/>
          <w:lang w:val="el" w:eastAsia="el"/>
        </w:rPr>
        <w:t>Μηχανισμό Σταθερότητας και ρυθμίσεις για την υλοποίηση της Συμφωνίας Χρηματοδότησης» (Α΄ 94),</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των παρ. 1, 5 και 6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 5104/2024 «Κώδικας Φορολογικής Διαδικασίας και άλλες διατάξεις» (Α' 58), ε) του Κώδικα Είσπραξης Δημοσίων Εσόδων (ν.4978/2022, Α΄190),</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ν. 4387/2016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(Α΄ 85),</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ν. 4670/2020 «Ασφαλιστική μεταρρύθμιση και ψηφιακός μετασχηματισμός Εθνικού Φορέα Κοινωνικής Ασφάλισης (e-Ε.Φ.Κ.Α.) και άλλες διατάξεις» (Α΄ 43),</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του π.δ. 134/2017 «Οργανισμός του Υπουργείου Εργασίας, Κοινωνικής Ασφάλισης και Κοινωνικής Αλληλεγγύης» (Α΄ 168),</w:t>
      </w:r>
    </w:p>
    <w:p>
      <w:pPr>
        <w:pStyle w:val="StructureList1"/>
        <w:spacing w:before="120" w:after="0"/>
        <w:rPr>
          <w:lang w:val="el" w:eastAsia="el"/>
        </w:rPr>
      </w:pPr>
      <w:r>
        <w:rPr>
          <w:u w:val="single"/>
          <w:lang w:val="el" w:eastAsia="el"/>
        </w:rPr>
        <w:t>ιβ)</w:t>
      </w:r>
      <w:r>
        <w:rPr>
          <w:u w:val="single"/>
          <w:lang w:val="en" w:eastAsia="en"/>
        </w:rPr>
        <w:tab/>
      </w:r>
      <w:r>
        <w:rPr>
          <w:b/>
          <w:bCs/>
          <w:u w:val="single"/>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u w:val="single"/>
          <w:lang w:val="el" w:eastAsia="el"/>
        </w:rPr>
        <w:t>ιγ)</w:t>
      </w:r>
      <w:r>
        <w:rPr>
          <w:u w:val="single"/>
          <w:lang w:val="en" w:eastAsia="en"/>
        </w:rPr>
        <w:tab/>
      </w:r>
      <w:r>
        <w:rPr>
          <w:b/>
          <w:bCs/>
          <w:u w:val="single"/>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u w:val="single"/>
          <w:lang w:val="el" w:eastAsia="el"/>
        </w:rPr>
        <w:t>ιδ)</w:t>
      </w:r>
      <w:r>
        <w:rPr>
          <w:u w:val="single"/>
          <w:lang w:val="en" w:eastAsia="en"/>
        </w:rPr>
        <w:tab/>
      </w:r>
      <w:r>
        <w:rPr>
          <w:b/>
          <w:bCs/>
          <w:u w:val="single"/>
          <w:lang w:val="el" w:eastAsia="el"/>
        </w:rPr>
        <w:t>της υπό στοιχεία 102916 ΕΞ 2023/10.7.2023 κοινής απόφασης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u w:val="single"/>
          <w:lang w:val="el" w:eastAsia="el"/>
        </w:rPr>
        <w:t>ιε)</w:t>
      </w:r>
      <w:r>
        <w:rPr>
          <w:u w:val="single"/>
          <w:lang w:val="en" w:eastAsia="en"/>
        </w:rPr>
        <w:tab/>
      </w:r>
      <w:r>
        <w:rPr>
          <w:b/>
          <w:bCs/>
          <w:u w:val="single"/>
          <w:lang w:val="el" w:eastAsia="el"/>
        </w:rPr>
        <w:t>της υπ’ αρ. 65928/13.7.2023 κοινής απόφασης του Πρωθυπουργού και του Υπουργού Εργασίας και Κοινωνικής Ασφάλισης «Ανάθεση αρμοδιοτήτων στον Υφυπουργό Εργασίας και Κοινωνικής Ασφάλισης, Παναγιώτη Τσακλόγλου» (Β΄4526) και</w:t>
      </w:r>
    </w:p>
    <w:p>
      <w:pPr>
        <w:pStyle w:val="StructureList1"/>
        <w:spacing w:before="120" w:after="0"/>
        <w:rPr>
          <w:lang w:val="el" w:eastAsia="el"/>
        </w:rPr>
      </w:pPr>
      <w:r>
        <w:rPr>
          <w:u w:val="single"/>
          <w:lang w:val="el" w:eastAsia="el"/>
        </w:rPr>
        <w:t>ιστ)</w:t>
      </w:r>
      <w:r>
        <w:rPr>
          <w:u w:val="single"/>
          <w:lang w:val="en" w:eastAsia="en"/>
        </w:rPr>
        <w:tab/>
      </w:r>
      <w:r>
        <w:rPr>
          <w:b/>
          <w:bCs/>
          <w:u w:val="single"/>
          <w:lang w:val="el" w:eastAsia="el"/>
        </w:rPr>
        <w:t>της υπό στοιχεία Δ. ΟΡΓ. Α 1125859 ΕΞ2020/23.10.2020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ΠΟΛ. 1158/28.9.2017 κοινή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 (Β΄ 3634).</w:t>
      </w:r>
    </w:p>
    <w:p>
      <w:pPr>
        <w:pStyle w:val="PreambelText"/>
        <w:spacing w:before="240" w:after="240"/>
        <w:rPr>
          <w:lang w:val="el" w:eastAsia="el"/>
        </w:rPr>
      </w:pPr>
      <w:r>
        <w:rPr>
          <w:u w:val="single"/>
          <w:lang w:val="el" w:eastAsia="el"/>
        </w:rPr>
        <w:t xml:space="preserve">3. </w:t>
      </w:r>
      <w:r>
        <w:rPr>
          <w:b/>
          <w:bCs/>
          <w:u w:val="single"/>
          <w:lang w:val="el" w:eastAsia="el"/>
        </w:rPr>
        <w:t>Την ανάγκη νέας μεταβολής της ημερομηνίας επικαιροποίησης των καταστάσεων των δημοσιοποιούμενων οφειλών.</w:t>
      </w:r>
    </w:p>
    <w:p>
      <w:pPr>
        <w:pStyle w:val="PreambelText"/>
        <w:spacing w:before="240" w:after="240"/>
        <w:rPr>
          <w:lang w:val="el" w:eastAsia="el"/>
        </w:rPr>
      </w:pPr>
      <w:r>
        <w:rPr>
          <w:u w:val="single"/>
          <w:lang w:val="el" w:eastAsia="el"/>
        </w:rPr>
        <w:t xml:space="preserve">4. </w:t>
      </w:r>
      <w:r>
        <w:rPr>
          <w:b/>
          <w:bCs/>
          <w:u w:val="single"/>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Μόνο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τελευταίο εδάφιο της παρ.2 του άρθρου 3 της υπό στοιχεία ΠΟΛ. 1158/28.9.2017 (Β΄ 3634) κοινής απόφασης των Υφυπουργών Εργασίας, Κοινωνικής Ασφάλισης και Κοινωνικής Αλληλεγγύης και Οικονομικών αντικαθίσταται ως εξής: «Εξαιρετικά, για το ημερολογιακό έτος 2024, οι καταστάσεις που έχουν δημοσιοποιηθεί, επικαιροποιούνται μέχρι την 31ή Ιουλίου 2024».</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Ο ΥΦΥΠΟΥΡΓΟΣ ΕΘΝΙΚΗΣ ΟΙΚΟΝΟΜΙΑΣ - Ο ΥΦΥΠΟΥΡΓΟΣ ΕΡΓΑΣΙΑΣ</w:t>
      </w:r>
    </w:p>
    <w:p>
      <w:pPr>
        <w:spacing w:before="240" w:after="240"/>
        <w:rPr>
          <w:lang w:val="el" w:eastAsia="el"/>
        </w:rPr>
      </w:pPr>
      <w:r>
        <w:rPr>
          <w:b/>
          <w:bCs/>
          <w:u w:val="single"/>
          <w:lang w:val="el" w:eastAsia="el"/>
        </w:rPr>
        <w:t>ΟΙΚΟΝΟΜΙΚΩΝ ΚΑΙ ΚΟΙΝΩΝΙΚΗΣ ΑΣΦΑΛΙΣΗΣ</w:t>
      </w:r>
    </w:p>
    <w:p>
      <w:pPr>
        <w:spacing w:before="240" w:after="240"/>
        <w:rPr>
          <w:lang w:val="el" w:eastAsia="el"/>
        </w:rPr>
      </w:pPr>
      <w:r>
        <w:rPr>
          <w:b/>
          <w:bCs/>
          <w:u w:val="single"/>
          <w:lang w:val="el" w:eastAsia="el"/>
        </w:rPr>
        <w:t>ΘΕΟΧΑΡΗΣ ΘΕΟΧΑΡΗΣ ΠΑΝΑΓΙΩΤΗΣ ΤΣΑΚΛΟΓΛΟΥ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Αποδέκτες Πίνακα Γ&amp; Δ</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Κέντρο Είσπραξης Ασφαλιστικών Οφειλών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Γενική Διεύθυνση Ηλεκτρονικής Διακυβέρνησης ΑΑΔΕ</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Υπουργού Εθνικής Οικονομίας και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Γραφείο Υπουργού Εργασίας και Κοινωνικής Ασφάλισης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Γραφείο Υφυπουργού Εργασίας και Κοινωνικής Ασφάλισης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Γραφείο Γενικού Γραμματέα Φορολογικής Πολιτικής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Αποδέκτες Πίνακα Α, Δ, Ι (πλην των αποδεκτών προς ενέργεια)</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Γενική Διεύθυνση Τελωνείων και Ειδικών Φόρων Κατανάλωσης</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Γραφεία κκ Γεν. Διευθυντών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Διεύθυνση Διαδικασιών Εισπράξεων και Επιστροφών– Τμήματα Α-Γ, Γραμματεία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Διεύθυνση Τελωνειακών Διαδικασιών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