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ΙΙ. ΓΕΝΙΚΗ ΔΙΕΥΘΥΝΣΗ ΤΕΛΩΝΕΙΩΝ &amp; Ε.Φ.Κ.</w:t>
      </w:r>
    </w:p>
    <w:p>
      <w:pPr>
        <w:pStyle w:val="Title"/>
        <w:spacing w:before="120" w:after="360"/>
        <w:rPr>
          <w:lang w:val="el" w:eastAsia="el"/>
        </w:rPr>
      </w:pPr>
      <w:r>
        <w:rPr>
          <w:b/>
          <w:bCs/>
          <w:lang w:val="el" w:eastAsia="el"/>
        </w:rPr>
        <w:t>ΔΙΕΥΘΥΝΣΗ ΤΕΛΩΝΕΙΑΚΩΝ ΔΙΑΔΙΚΑΣΙΩΝ ΤΜΗΜΑ Δ'</w:t>
      </w:r>
    </w:p>
    <w:p>
      <w:pPr>
        <w:pStyle w:val="Title"/>
        <w:spacing w:before="120" w:after="360"/>
        <w:rPr>
          <w:lang w:val="el" w:eastAsia="el"/>
        </w:rPr>
      </w:pPr>
      <w:r>
        <w:rPr>
          <w:b/>
          <w:bCs/>
          <w:lang w:val="el" w:eastAsia="el"/>
        </w:rPr>
        <w:t xml:space="preserve">Κηφισίας 124 115 26, Αθήνα 2132112912, 905 dtd@aade.gr </w:t>
      </w:r>
      <w:hyperlink r:id="rId4"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Θέμα: Μεταβολή των κριτηρίων και των προϋποθέσεων καταχώρισης οφειλών στα βιβλία ανεπίδεκτων είσπραξης και ρύθμιση των χρονικών ορίων ισχύος των συνεπειών της καταχώρισης - Τροποποίηση της υπό στοιχεία Α. 1232/2021 (Β΄4942) Απόφασης του Διοικητή της Α.Α.Δ.Ε.</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Κώδικα Είσπραξης Δημοσίων Εσόδων (ν.4978/2022, Α΄190) και ιδίως του δευτέρου εδαφίου της παρ. 5 του άρθρου 73 αυτού,</w:t>
      </w:r>
    </w:p>
    <w:p>
      <w:pPr>
        <w:pStyle w:val="StructureList1"/>
        <w:spacing w:before="120" w:after="0"/>
        <w:rPr>
          <w:lang w:val="el" w:eastAsia="el"/>
        </w:rPr>
      </w:pPr>
      <w:r>
        <w:rPr>
          <w:lang w:val="el" w:eastAsia="el"/>
        </w:rPr>
        <w:t>β)</w:t>
      </w:r>
      <w:r>
        <w:rPr>
          <w:lang w:val="en" w:eastAsia="en"/>
        </w:rPr>
        <w:tab/>
      </w:r>
      <w:r>
        <w:rPr>
          <w:b/>
          <w:bCs/>
          <w:lang w:val="el" w:eastAsia="el"/>
        </w:rPr>
        <w:t>του ν.4820/2021 «Οργανικός νόμος του Ελεγκτικού Συνεδρίου και άλλες ρυθμίσεις» (Α΄130) και ιδίως της περ. ε της παρ. 2 του άρθρου 10 καθώς και των άρθρων 132 και 211, γ) του Κεφ.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ιδίως της παρ. 6 του άρθρου 14 αυτού,</w:t>
      </w:r>
    </w:p>
    <w:p>
      <w:pPr>
        <w:pStyle w:val="StructureList1"/>
        <w:spacing w:before="120" w:after="0"/>
        <w:rPr>
          <w:lang w:val="el" w:eastAsia="el"/>
        </w:rPr>
      </w:pPr>
      <w:r>
        <w:rPr>
          <w:lang w:val="el" w:eastAsia="el"/>
        </w:rPr>
        <w:t>δ)</w:t>
      </w:r>
      <w:r>
        <w:rPr>
          <w:lang w:val="en" w:eastAsia="en"/>
        </w:rPr>
        <w:tab/>
      </w:r>
      <w:r>
        <w:rPr>
          <w:b/>
          <w:bCs/>
          <w:lang w:val="el" w:eastAsia="el"/>
        </w:rPr>
        <w:t>του Κώδικα Φορολογικής Διαδικασίας (ν. 5104/2024, Α΄58),</w:t>
      </w:r>
    </w:p>
    <w:p>
      <w:pPr>
        <w:pStyle w:val="StructureList1"/>
        <w:spacing w:before="120" w:after="0"/>
        <w:rPr>
          <w:lang w:val="el" w:eastAsia="el"/>
        </w:rPr>
      </w:pPr>
      <w:r>
        <w:rPr>
          <w:lang w:val="el" w:eastAsia="el"/>
        </w:rPr>
        <w:t>ε)</w:t>
      </w:r>
      <w:r>
        <w:rPr>
          <w:lang w:val="en" w:eastAsia="en"/>
        </w:rPr>
        <w:tab/>
      </w:r>
      <w:r>
        <w:rPr>
          <w:b/>
          <w:bCs/>
          <w:lang w:val="el" w:eastAsia="el"/>
        </w:rPr>
        <w:t>του ν. 4270/2014 «Αρχές δημοσιονομικής διαχείρισης και εποπτείας (ενσωμάτωση της Οδηγίας 2011/85/ΕΕ) – δημόσιο λογιστικό και άλλες διατάξεις» (A’ 143),</w:t>
      </w:r>
    </w:p>
    <w:p>
      <w:pPr>
        <w:pStyle w:val="StructureList1"/>
        <w:spacing w:before="120" w:after="0"/>
        <w:rPr>
          <w:lang w:val="el" w:eastAsia="el"/>
        </w:rPr>
      </w:pPr>
      <w:r>
        <w:rPr>
          <w:lang w:val="el" w:eastAsia="el"/>
        </w:rPr>
        <w:t>στ)</w:t>
      </w:r>
      <w:r>
        <w:rPr>
          <w:lang w:val="en" w:eastAsia="en"/>
        </w:rPr>
        <w:tab/>
      </w:r>
      <w:r>
        <w:rPr>
          <w:b/>
          <w:bCs/>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Δ.ΟΡΓ. Α 1125859 ΕΞ 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η)</w:t>
      </w:r>
      <w:r>
        <w:rPr>
          <w:lang w:val="en" w:eastAsia="en"/>
        </w:rPr>
        <w:tab/>
      </w:r>
      <w:r>
        <w:rPr>
          <w:b/>
          <w:bCs/>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θ)</w:t>
      </w:r>
      <w:r>
        <w:rPr>
          <w:lang w:val="en" w:eastAsia="en"/>
        </w:rPr>
        <w:tab/>
      </w:r>
      <w:r>
        <w:rPr>
          <w:b/>
          <w:bCs/>
          <w:lang w:val="el" w:eastAsia="el"/>
        </w:rPr>
        <w:t>του άρθρου 81 του ν. 1892/1990 «Για τον εκσυγχρονισμό και την Ανάπτυξη και άλλες διατάξεις» (Α' 101),</w:t>
      </w:r>
    </w:p>
    <w:p>
      <w:pPr>
        <w:pStyle w:val="StructureList1"/>
        <w:spacing w:before="120" w:after="0"/>
        <w:rPr>
          <w:lang w:val="el" w:eastAsia="el"/>
        </w:rPr>
      </w:pPr>
      <w:r>
        <w:rPr>
          <w:lang w:val="el" w:eastAsia="el"/>
        </w:rPr>
        <w:t>ι)</w:t>
      </w:r>
      <w:r>
        <w:rPr>
          <w:lang w:val="en" w:eastAsia="en"/>
        </w:rPr>
        <w:tab/>
      </w:r>
      <w:r>
        <w:rPr>
          <w:b/>
          <w:bCs/>
          <w:lang w:val="el" w:eastAsia="el"/>
        </w:rPr>
        <w:t>του π.δ. 16/1989 «Κανονισμός λειτουργίας Δημοσίων Οικονομικών Υπηρεσιών (Δ.Ο.Υ.) και των Τοπικών Γραφείων και καθήκοντα υπαλλήλων αυτών» (Α΄6).</w:t>
      </w:r>
    </w:p>
    <w:p>
      <w:pPr>
        <w:pStyle w:val="PreambelText"/>
        <w:spacing w:before="240" w:after="240"/>
        <w:rPr>
          <w:lang w:val="el" w:eastAsia="el"/>
        </w:rPr>
      </w:pPr>
      <w:r>
        <w:rPr>
          <w:lang w:val="el" w:eastAsia="el"/>
        </w:rPr>
        <w:t xml:space="preserve">2. </w:t>
      </w:r>
      <w:r>
        <w:rPr>
          <w:b/>
          <w:bCs/>
          <w:lang w:val="el" w:eastAsia="el"/>
        </w:rPr>
        <w:t>Την υπό στοιχεία Α. 1232/20.10.2021 απόφαση του Διοικητή Α.Α.Δ.Ε. «Διαδικασία διάκρισης ληξιπροθέσμων οφειλών προς το Δημόσιο σε εισπράξιμες και ανεπίδεκτες είσπραξης – Μεταβίβαση αρμοδιοτήτων του Διοικητή της Ανεξάρτητης Αρχής Δημοσίων Εσόδων» (Β΄4942).</w:t>
      </w:r>
    </w:p>
    <w:p>
      <w:pPr>
        <w:pStyle w:val="PreambelText"/>
        <w:spacing w:before="240" w:after="240"/>
        <w:rPr>
          <w:lang w:val="el" w:eastAsia="el"/>
        </w:rPr>
      </w:pPr>
      <w:r>
        <w:rPr>
          <w:lang w:val="el" w:eastAsia="el"/>
        </w:rPr>
        <w:t xml:space="preserve">3. </w:t>
      </w:r>
      <w:r>
        <w:rPr>
          <w:b/>
          <w:bCs/>
          <w:lang w:val="el" w:eastAsia="el"/>
        </w:rPr>
        <w:t>Την υπό στοιχεία Δ.ΟΡΓ. 1065199 ΕΞ 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pStyle w:val="PreambelText"/>
        <w:spacing w:before="240" w:after="240"/>
        <w:rPr>
          <w:lang w:val="el" w:eastAsia="el"/>
        </w:rPr>
      </w:pPr>
      <w:r>
        <w:rPr>
          <w:lang w:val="el" w:eastAsia="el"/>
        </w:rPr>
        <w:t xml:space="preserve">4.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5. </w:t>
      </w:r>
      <w:r>
        <w:rPr>
          <w:b/>
          <w:bCs/>
          <w:lang w:val="el" w:eastAsia="el"/>
        </w:rPr>
        <w:t>Την από 20-12-2023 σύμφωνη γνώμη της Πλήρους Ολομέλειας του Ελεγκτικού Συνεδρίου.</w:t>
      </w:r>
    </w:p>
    <w:p>
      <w:pPr>
        <w:pStyle w:val="PreambelText"/>
        <w:spacing w:before="240" w:after="240"/>
        <w:rPr>
          <w:lang w:val="el" w:eastAsia="el"/>
        </w:rPr>
      </w:pPr>
      <w:r>
        <w:rPr>
          <w:lang w:val="el" w:eastAsia="el"/>
        </w:rPr>
        <w:t xml:space="preserve">6. </w:t>
      </w:r>
      <w:r>
        <w:rPr>
          <w:b/>
          <w:bCs/>
          <w:lang w:val="el" w:eastAsia="el"/>
        </w:rPr>
        <w:t>Το γεγονός ότι από την απόφαση αυτή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w:t>
      </w:r>
      <w:r>
        <w:rPr>
          <w:b/>
          <w:bCs/>
          <w:lang w:val="el" w:eastAsia="el"/>
        </w:rPr>
        <w:t>Προστίθεται δεύτερο εδάφιο στην περ. (α) της παρ. 1 του άρθρου 1, τροποποιείται η περ. γ) της παρ. 1 και προστίθενται νέες παράγραφοι 4 και 5 στο άρθρο 1 της υπό στοιχεία Α.1232/2021 (Β΄4942) απόφασης του Διοικητή της Ανεξάρτητης Αρχής Δημοσίων Εσόδων, και το άρθρο 1 διαμορφώνεται ως εξής:</w:t>
      </w:r>
    </w:p>
    <w:p>
      <w:pPr>
        <w:spacing w:before="240" w:after="240"/>
        <w:rPr>
          <w:lang w:val="el" w:eastAsia="el"/>
        </w:rPr>
      </w:pPr>
      <w:r>
        <w:rPr>
          <w:b/>
          <w:bCs/>
          <w:lang w:val="el" w:eastAsia="el"/>
        </w:rPr>
        <w:t>«άρθρο 1</w:t>
      </w:r>
    </w:p>
    <w:p>
      <w:pPr>
        <w:spacing w:before="240" w:after="240"/>
        <w:rPr>
          <w:lang w:val="el" w:eastAsia="el"/>
        </w:rPr>
      </w:pPr>
      <w:r>
        <w:rPr>
          <w:b/>
          <w:bCs/>
          <w:lang w:val="el" w:eastAsia="el"/>
        </w:rPr>
        <w:t>Κριτήρια και προϋποθέσεις για το χαρακτηρισμό οφειλών ως ανεπίδεκτων είσπραξης</w:t>
      </w:r>
    </w:p>
    <w:p>
      <w:pPr>
        <w:spacing w:before="240" w:after="240"/>
        <w:rPr>
          <w:lang w:val="el" w:eastAsia="el"/>
        </w:rPr>
      </w:pPr>
      <w:r>
        <w:rPr>
          <w:lang w:val="el" w:eastAsia="el"/>
        </w:rPr>
        <w:t xml:space="preserve">1. </w:t>
      </w:r>
      <w:r>
        <w:rPr>
          <w:b/>
          <w:bCs/>
          <w:lang w:val="el" w:eastAsia="el"/>
        </w:rPr>
        <w:t>Οι ληξιπρόθεσμες οφειλές προς το Δημόσιο και οι συμβεβαιωμένες οφειλές προς τρίτους χαρακτηρίζονται ως ανεπίδεκτες είσπραξης, εφόσον συντρέχουν σωρευτικά τα ακόλουθα:</w:t>
      </w:r>
    </w:p>
    <w:p>
      <w:pPr>
        <w:spacing w:before="240" w:after="240"/>
        <w:rPr>
          <w:lang w:val="el" w:eastAsia="el"/>
        </w:rPr>
      </w:pPr>
      <w:r>
        <w:rPr>
          <w:b/>
          <w:bCs/>
          <w:lang w:val="el" w:eastAsia="el"/>
        </w:rPr>
        <w:t>α) Έχουν ολοκληρωθεί οι έρευνες με βάση τα εκάστοτε πρόσφορα διαθέσιμα ηλεκτρονικά μέσα της Φορολογικής Διοίκησης και από τις έρευνες αυτές δεν διαπιστώθηκε η ύπαρξη περιουσιακών στοιχείων του οφειλέτη και των συνυπόχρεων προσώπων ή διαπιστώθηκε η καθ’ οιονδήποτε τρόπο εκποίηση των περιουσιακών τους στοιχείων που δεν υπόκεινται σε ακύρωση ή σε διάρρηξη κατά τα άρθρα 939 και επόμενα του Αστικού Κώδικα και ειδικότερα διαπιστώθηκε η ολοκλήρωση της διαδικασίας αναγκαστικής εκτέλεσης επί κινητών, ακινήτων ή απαιτήσεων κατά των ανωτέρω ευθυνόμενων προσώπων με επίσπευση του Δημοσίου ή τρίτων ή από τον εκκαθαριστή στο πλαίσιο της διαδικασίας εκκαθάρισης και η παύση των εργασιών της πτώχευσης, εφόσον έχει λάβει χώρα κήρυξη των ευθυνόμενων προσώπων σε πτώχευση, η οποία δεν έχει περατωθεί. Η εκμίσθωση τραπεζικής θυρίδας από οφειλέτη ή συνυπόχρεο πρόσωπο δεν κωλύει τον χαρακτηρισμό των οφειλών ως ανεπίδεκτων είσπραξης, ακόμα και πριν λάβει χώρα η διάρρηξη αυτής, εφόσον έχει ήδη επιβληθεί κατάσχεση στα χέρια τρίτου.</w:t>
      </w:r>
    </w:p>
    <w:p>
      <w:pPr>
        <w:spacing w:before="240" w:after="240"/>
        <w:rPr>
          <w:lang w:val="el" w:eastAsia="el"/>
        </w:rPr>
      </w:pPr>
      <w:r>
        <w:rPr>
          <w:b/>
          <w:bCs/>
          <w:lang w:val="el" w:eastAsia="el"/>
        </w:rPr>
        <w:t>β) Έχει υποβληθεί αίτηση ποινικής δίωξης κατά τις διατάξεις του άρθρου 25 του ν. 1882/1990 (Α' 43) σε όσες περιπτώσεις συντρέχουν οι νόμιμες προϋποθέσεις ή δεν είναι δυνατή η υποβολή αυτής.</w:t>
      </w:r>
    </w:p>
    <w:p>
      <w:pPr>
        <w:spacing w:before="240" w:after="240"/>
        <w:rPr>
          <w:lang w:val="el" w:eastAsia="el"/>
        </w:rPr>
      </w:pPr>
      <w:r>
        <w:rPr>
          <w:b/>
          <w:bCs/>
          <w:lang w:val="el" w:eastAsia="el"/>
        </w:rPr>
        <w:t>γ) Έχει πραγματοποιηθεί έλεγχος από ειδικά οριζόμενο ελεγκτή της αρμόδιας υπηρεσίας της Ανεξάρτητης Αρχής Δημοσίων Εσόδων, ο οποίος πιστοποιεί, με βάση ειδικά αιτιολογημένη έκθεση ελέγχου, ότι συντρέχουν οι προϋποθέσεις των περ.(α) και (β) και είναι αντικειμενικά αδύνατη η είσπραξη των οφειλών. Κατ’ εξαίρεση, σε περίπτωση εφαρμογής των διατάξεων της παρ. 4 ή της περ. (α) της παρ. 5, με την έκθεση ελέγχου πιστοποιείται, αντί της συνδρομής της περ. (α) της παρούσας παραγράφου, η συνδρομή των προϋποθέσεων των διατάξεων αυτών, κατά περίπτωση. Αν ο οφειλέτης ή συνυπόχρεος έχει αποβιώσει και εμπίπτει στο πεδίο εφαρμογής της περ. (β) της παρ. 5, ειδικά ως προς τον αποβιώσαντα οφειλέτη ή συνυπόχρεο πιστοποιείται μόνο η συνδρομή της περίπτωσης αυτής.</w:t>
      </w:r>
    </w:p>
    <w:p>
      <w:pPr>
        <w:spacing w:before="240" w:after="240"/>
        <w:rPr>
          <w:lang w:val="el" w:eastAsia="el"/>
        </w:rPr>
      </w:pPr>
      <w:r>
        <w:rPr>
          <w:lang w:val="el" w:eastAsia="el"/>
        </w:rPr>
        <w:t xml:space="preserve">2. </w:t>
      </w:r>
      <w:r>
        <w:rPr>
          <w:b/>
          <w:bCs/>
          <w:lang w:val="el" w:eastAsia="el"/>
        </w:rPr>
        <w:t>Για εταιρείες του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διαδικασίες αυτές και η συνδρομή των περ. (β) και (γ) της προηγούμενης παρ. 1.</w:t>
      </w:r>
    </w:p>
    <w:p>
      <w:pPr>
        <w:spacing w:before="240" w:after="240"/>
        <w:rPr>
          <w:lang w:val="el" w:eastAsia="el"/>
        </w:rPr>
      </w:pPr>
      <w:r>
        <w:rPr>
          <w:lang w:val="el" w:eastAsia="el"/>
        </w:rPr>
        <w:t xml:space="preserve">3. </w:t>
      </w:r>
      <w:r>
        <w:rPr>
          <w:b/>
          <w:bCs/>
          <w:lang w:val="el" w:eastAsia="el"/>
        </w:rPr>
        <w:t>Για οφειλές που αφορούν κοινότητες ομογενειακών οργανώσεων που έχουν στην κυριότητά τους ελληνικά σχολεία στην αλλοδαπή απαιτείται η συνδρομή της περ. (γ) της παρ.1.</w:t>
      </w:r>
    </w:p>
    <w:p>
      <w:pPr>
        <w:spacing w:before="240" w:after="240"/>
        <w:rPr>
          <w:lang w:val="el" w:eastAsia="el"/>
        </w:rPr>
      </w:pPr>
      <w:r>
        <w:rPr>
          <w:lang w:val="el" w:eastAsia="el"/>
        </w:rPr>
        <w:t xml:space="preserve">4. </w:t>
      </w:r>
      <w:r>
        <w:rPr>
          <w:b/>
          <w:bCs/>
          <w:lang w:val="el" w:eastAsia="el"/>
        </w:rPr>
        <w:t>Κατά παρέκκλιση από τα οριζόμενα στην περ. (α) της παρ. 1, χαρακτηρίζονται ως ανεπίδεκτες είσπραξης οφειλές παρά την ύπαρξη περιουσιακών στοιχείων του οφειλέτη ή συνυπόχρεου προσώπου, αν για τα υφιστάμενα περιουσιακά στοιχεία συντρέχουν σωρευτικά οι ακόλουθες προϋποθέσεις:</w:t>
      </w:r>
    </w:p>
    <w:p>
      <w:pPr>
        <w:spacing w:before="240" w:after="240"/>
        <w:rPr>
          <w:lang w:val="el" w:eastAsia="el"/>
        </w:rPr>
      </w:pPr>
      <w:r>
        <w:rPr>
          <w:b/>
          <w:bCs/>
          <w:lang w:val="el" w:eastAsia="el"/>
        </w:rPr>
        <w:t>α) Η συνολική αξία της κυριότητας και των λοιπών εμπράγματων δικαιωμάτων επί ακινήτων του οφειλέτη και των συνυπόχρεων προσώπων είναι ιδιαίτερα μικρής αξίας σε σχέση με τη συνολική βασική ληξιπρόθεσμη οφειλή, δεν υπερβαίνει το πέντε τοις εκατό (5%) του ύψους της οφειλής και σε κάθε περίπτωση το ποσό των εκατό χιλιάδων (100.000) ευρώ, όπως η αξία αυτή προκύπτει, κατά σειρά, από εκτίμηση πιστοποιημένου εκτιμητή, όπου υπάρχει, ή από το ποσό του αθροίσματος της φορολογητέας αξίας των δικαιωμάτων αυτών για τον υπολογισμό του ΕΝΦΙΑ σύμφωνα με το ν. 4223/2013, όπως αυτό προκύπτει από την τελευταία συντεθείσα πράξη προσδιορισμού φόρου, ή από την έκθεση κατάσχεσης. Αν συντρέχουν οι λοιπές προϋποθέσεις του προηγούμενου εδαφίου αλλά η συνολική αξία της κυριότητας και των λοιπών εμπράγματων δικαιωμάτων επί ακινήτων του οφειλέτη και των συνυπόχρεων προσώπων υπερβαίνει το ποσό των εκατό χιλιάδων (100.000) ευρώ, ως ανεπίδεκτη είσπραξης χαρακτηρίζεται η οφειλή που απομένει μετά την αφαίρεση του διπλάσιου ποσού της αξίας αυτών. Για την εφαρμογή του προηγούμενου εδαφίου, ο χαρακτηρισμός οφειλών ως ανεπίδεκτων είσπραξης γίνεται κατά σειρά παλαιότητας, από την παλαιότερη οφειλή προς τη νεότερη, με κριτήριο τον χρόνο καταχώρισης της οφειλής στα βιβλία εισπρακτέων εσόδων.</w:t>
      </w:r>
    </w:p>
    <w:p>
      <w:pPr>
        <w:spacing w:before="240" w:after="240"/>
        <w:rPr>
          <w:lang w:val="el" w:eastAsia="el"/>
        </w:rPr>
      </w:pPr>
      <w:r>
        <w:rPr>
          <w:b/>
          <w:bCs/>
          <w:lang w:val="el" w:eastAsia="el"/>
        </w:rPr>
        <w:t>β) Η συνολική αξία της κινητής περιουσίας του οφειλέτη και των συνυπόχρεων προσώπων είναι ιδιαίτερα μικρής αξίας σε σχέση με το ύψος της συνολικής βασικής ληξιπρόθεσμης οφειλής και δεν υπερβαίνει το ποσό των τριάντα χιλιάδων (30.000) ευρώ, όπως η αξία αυτή προκύπτει, κατά σειρά, από εκτίμηση πιστοποιημένου εκτιμητή ή από την έκθεση κατάσχεσης.</w:t>
      </w:r>
    </w:p>
    <w:p>
      <w:pPr>
        <w:spacing w:before="240" w:after="240"/>
        <w:rPr>
          <w:lang w:val="el" w:eastAsia="el"/>
        </w:rPr>
      </w:pPr>
      <w:r>
        <w:rPr>
          <w:lang w:val="el" w:eastAsia="el"/>
        </w:rPr>
        <w:t xml:space="preserve">5. </w:t>
      </w:r>
      <w:r>
        <w:rPr>
          <w:b/>
          <w:bCs/>
          <w:lang w:val="el" w:eastAsia="el"/>
        </w:rPr>
        <w:t>Κατά παρέκκλιση από τα οριζόμενα στην περ. (α) της παρ. 1, ως ανεπίδεκτες είσπραξης χαρακτηρίζονται οφειλές και στις ακόλουθες περιπτώσεις:</w:t>
      </w:r>
    </w:p>
    <w:p>
      <w:pPr>
        <w:spacing w:before="240" w:after="240"/>
        <w:rPr>
          <w:lang w:val="el" w:eastAsia="el"/>
        </w:rPr>
      </w:pPr>
      <w:r>
        <w:rPr>
          <w:b/>
          <w:bCs/>
          <w:lang w:val="el" w:eastAsia="el"/>
        </w:rPr>
        <w:t>α) Αν έχει παρέλθει χρονικό διάστημα τουλάχιστον δέκα ετών από την υπαγωγή της επιχείρησης του οφειλέτη, φυσικού ή νομικού προσώπου, σε διαδικασία ειδικής εκκαθάρισης ή από τη λύση του νομικού προσώπου και η τρέχουσα συνολική αξία του ενεργητικού της υπό εκκαθάριση περιουσίας και της περιουσίας των συνυπόχρεων προσώπων είναι ιδιαίτερα μικρής αξίας σε σχέση με τη συνολική βασική ληξιπρόθεσμη οφειλή, η οποία δεν υπερβαίνει το πέντε τοις εκατό (5%) του ύψους της οφειλής και σε κάθε περίπτωση το ποσό των εκατό χιλιάδων (100.000) ευρώ. Αν συντρέχουν οι λοιπές προϋποθέσεις του προηγούμενου εδαφίου αλλά η τρέχουσα συνολική αξία του ενεργητικού της υπό εκκαθάριση περιουσίας και της περιουσίας των συνυπόχρεων προσώπων υπερβαίνει το ποσό των εκατό χιλιάδων (100.000) ευρώ, ως ανεπίδεκτη είσπραξης χαρακτηρίζεται η οφειλή που απομένει μετά την αφαίρεση του διπλάσιου ποσού της αξίας αυτών, κατ’ ανάλογη εφαρμογή του τρίτου εδαφίου της περ. (α) της παρ. 4 του παρόντος άρθρου. Για την εφαρμογή των προηγούμενων εδαφίων, ο υπολογισμός της αξίας του ενεργητικού της υπό εκκαθάριση περιουσίας γίνεται με βάση βεβαίωση του εκκαθαριστή, ενώ για τα συνυπόχρεα πρόσωπα εφαρμόζονται οι διατάξεις της παρ. 4. Οι διατάξεις της παρούσας περίπτωσης εφαρμόζονται μόνο για οφειλές που γεννήθηκαν ή ανάγονται σε χρόνο έως την έναρξη της διαδικασίας εκκαθάρισης, ανεξαρτήτως του χρόνου βεβαίωσής τους, και έχουν αναγγελθεί σε αυτή.</w:t>
      </w:r>
    </w:p>
    <w:p>
      <w:pPr>
        <w:spacing w:before="240" w:after="240"/>
        <w:rPr>
          <w:lang w:val="el" w:eastAsia="el"/>
        </w:rPr>
      </w:pPr>
      <w:r>
        <w:rPr>
          <w:b/>
          <w:bCs/>
          <w:lang w:val="el" w:eastAsia="el"/>
        </w:rPr>
        <w:t>β) Αν ο οφειλέτης ή συνυπόχρεο πρόσωπο απεβίωσε χωρίς να καταλείπει οποιοδήποτε περιουσιακό στοιχείο και ο επιζών σύζυγος ή μέρος συμφώνου συμβίωσης, τα τέκνα του οφειλέτη καθώς και οι εκ διαθήκης κληρονόμοι αυτού αποποιήθηκαν την επαχθείσα κληρονομιά. Στην περίπτωση αυτή, για το χαρακτηρισμό οφειλής ως ανεπίδεκτης είσπραξης, δεν απαιτείται έρευνα και επίσπευση της διαδικασίας είσπραξης σε βάρος των λοιπών κληρονόμων του αποβιώσαντος».</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τέλος της παρ. 1 του άρθρου 5 της υπό στοιχεία Α. 1232/2021 (Β΄4942) απόφασης του Διοικητή της Α.Α.Δ.Ε. προστίθεται εδάφιο ως εξής:</w:t>
      </w:r>
    </w:p>
    <w:p>
      <w:pPr>
        <w:spacing w:before="240" w:after="240"/>
        <w:rPr>
          <w:lang w:val="el" w:eastAsia="el"/>
        </w:rPr>
      </w:pPr>
      <w:r>
        <w:rPr>
          <w:b/>
          <w:bCs/>
          <w:lang w:val="el" w:eastAsia="el"/>
        </w:rPr>
        <w:t>«Κατ’ εξαίρεση, η περ. (δ) δεν εφαρμόζεται σε οφειλέτες για τους οποίους εκκρεμεί διαδικασία εκκαθάρισης σύμφωνα με την περ. (α) της παρ. 5 του άρθρου 1 και οι περ. (β), (γ) και (δ) δεν εφαρμόζονται σε κληρονόμους του αποβιώσαντος της περ. (β) της παρ. 5 του άρθρου 1.».</w:t>
      </w:r>
    </w:p>
    <w:p>
      <w:pPr>
        <w:pStyle w:val="MainText"/>
        <w:spacing w:before="120" w:after="0"/>
        <w:rPr>
          <w:lang w:val="el" w:eastAsia="el"/>
        </w:rPr>
      </w:pPr>
      <w:r>
        <w:rPr>
          <w:b/>
          <w:bCs/>
          <w:lang w:val="el" w:eastAsia="el"/>
        </w:rPr>
        <w:t>3.</w:t>
      </w:r>
      <w:r>
        <w:rPr>
          <w:lang w:val="el" w:eastAsia="el"/>
        </w:rPr>
        <w:t xml:space="preserve"> </w:t>
      </w:r>
      <w:r>
        <w:rPr>
          <w:b/>
          <w:bCs/>
          <w:lang w:val="el" w:eastAsia="el"/>
        </w:rPr>
        <w:t>Οι διατάξεις της παρούσας απόφασης ισχύουν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Αποδέκτες Πινάκων Γ΄και Δ΄</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Αποδέκτες Πίνακα Α’ (πλην των αποδεκτών προς ενέργεια)</w:t>
      </w:r>
    </w:p>
    <w:p>
      <w:pPr>
        <w:spacing w:before="240" w:after="240"/>
        <w:rPr>
          <w:lang w:val="el" w:eastAsia="el"/>
        </w:rPr>
      </w:pPr>
      <w:r>
        <w:rPr>
          <w:lang w:val="el" w:eastAsia="el"/>
        </w:rPr>
        <w:t xml:space="preserve">2. </w:t>
      </w:r>
      <w:r>
        <w:rPr>
          <w:b/>
          <w:bCs/>
          <w:lang w:val="el" w:eastAsia="el"/>
        </w:rPr>
        <w:t>Ελεγκτικό Συνέδριο</w:t>
      </w:r>
    </w:p>
    <w:p>
      <w:pPr>
        <w:spacing w:before="240" w:after="240"/>
        <w:rPr>
          <w:lang w:val="el" w:eastAsia="el"/>
        </w:rPr>
      </w:pPr>
      <w:r>
        <w:rPr>
          <w:lang w:val="el" w:eastAsia="el"/>
        </w:rPr>
        <w:t xml:space="preserve">3. </w:t>
      </w:r>
      <w:r>
        <w:rPr>
          <w:b/>
          <w:bCs/>
          <w:lang w:val="el" w:eastAsia="el"/>
        </w:rPr>
        <w:t>Διεύθυνση Τελωνειακών Διαδικασιών</w:t>
      </w:r>
    </w:p>
    <w:p>
      <w:pPr>
        <w:spacing w:before="240" w:after="240"/>
        <w:rPr>
          <w:lang w:val="el" w:eastAsia="el"/>
        </w:rPr>
      </w:pPr>
      <w:r>
        <w:rPr>
          <w:lang w:val="el" w:eastAsia="el"/>
        </w:rPr>
        <w:t xml:space="preserve">4.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5.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6. </w:t>
      </w:r>
      <w:r>
        <w:rPr>
          <w:b/>
          <w:bCs/>
          <w:lang w:val="el" w:eastAsia="el"/>
        </w:rPr>
        <w:t>Γραφείο Γ. Γ. Φορολογικής Πολιτικής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Διαδικασιών Εισπράξεων και Επιστροφών– Τμήματα B-Γ,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