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ΥΠΕΝ/ΔΗΕ/598</w:t>
      </w:r>
      <w:r>
        <w:rPr>
          <w:lang w:val="el" w:eastAsia="el"/>
        </w:rPr>
        <w:t>69/1004</w:t>
      </w:r>
    </w:p>
    <w:p>
      <w:pPr>
        <w:pStyle w:val="PreambelText"/>
        <w:spacing w:before="240" w:after="240"/>
        <w:rPr>
          <w:lang w:val="el" w:eastAsia="el"/>
        </w:rPr>
      </w:pPr>
      <w:r>
        <w:rPr>
          <w:b/>
          <w:bCs/>
          <w:lang w:val="el" w:eastAsia="el"/>
        </w:rPr>
        <w:t>Ρύθμιση ληξιπρόθεσμων οφειλών των καταναλωτών ηλεκτρικής ενέργειας πληγεισών περιοχών από τις πλημμύρες Σεπτεμβρίου 2023.</w:t>
      </w:r>
    </w:p>
    <w:p>
      <w:pPr>
        <w:pStyle w:val="PreambelText"/>
        <w:spacing w:before="240" w:after="240"/>
        <w:rPr>
          <w:lang w:val="el" w:eastAsia="el"/>
        </w:rPr>
      </w:pPr>
      <w:r>
        <w:rPr>
          <w:b/>
          <w:bCs/>
          <w:lang w:val="el" w:eastAsia="el"/>
        </w:rPr>
        <w:t>ΟΙ ΥΠΟΥΡΓΟΙ ΕΘΝΙΚΗΣ ΟΙΚΟΝΟΜΙΑΣ ΚΑΙ ΟΙΚΟΝΟΜΙΚΩΝ - ΠΕΡΙΒΑΛΛΟΝΤΟΣ ΚΑΙ ΕΝΕΡΓΕΙΑΣ - ΑΓΡΟΤΙΚΗΣ ΑΝΑΠΤΥΞΗΣ ΚΑΙ ΤΡΟΦΙΜΩΝ - 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Τo άρθρο 27 του ν. 5085/2024 «Κύρωση της από 11.12.2023 Πράξης Νομοθετικού Περιεχομένου «Έκτακτα μέτρα απαγόρευσης διάθεσης εισιτηρίων και παρουσίας θεατών σε αγώνες ποδοσφαίρου για επιτακτικούς λόγους προστασίας της δημόσιας τάξης και ασφάλειας» (Α’ 203) - Λήψη μέτρων για την αποτροπή και αντιμετώπιση της βίας στο πλαίσιο αθλητικών συναντήσεων και λοιπές ρυθμίσεις αρμοδιότητας Υπουργείου Παιδείας, Θρησκευμάτων και Αθλητισμού» (Α’ 17).</w:t>
      </w:r>
    </w:p>
    <w:p>
      <w:pPr>
        <w:pStyle w:val="PreambelText"/>
        <w:spacing w:before="240" w:after="240"/>
        <w:rPr>
          <w:lang w:val="el" w:eastAsia="el"/>
        </w:rPr>
      </w:pPr>
      <w:r>
        <w:rPr>
          <w:lang w:val="el" w:eastAsia="el"/>
        </w:rPr>
        <w:t>2. Τo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Τo άρθρο 90 του Κώδικα νομοθεσίας για την Κυβέρνηση και τα κυβερνητικά όργανα (π.δ. 63/2005, Α’ 98) σε συνδυασμό με την περ. 22 του άρθρου 119 του ν. 4622/2019 (Α’ 133).</w:t>
      </w:r>
    </w:p>
    <w:p>
      <w:pPr>
        <w:pStyle w:val="PreambelText"/>
        <w:spacing w:before="240" w:after="240"/>
        <w:rPr>
          <w:lang w:val="el" w:eastAsia="el"/>
        </w:rPr>
      </w:pPr>
      <w:r>
        <w:rPr>
          <w:lang w:val="el" w:eastAsia="el"/>
        </w:rPr>
        <w:t>4. Tο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2019/2024) Ηλεκτρονικές Επικοινωνίες (Ενσωμάτωση στο Ελληνικό Δίκαιο της Οδηγίας (Ε.Ε)2018/1972)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5.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6. Την υπ’ αρ. 74104/5570/08.07.2023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pStyle w:val="PreambelText"/>
        <w:spacing w:before="240" w:after="240"/>
        <w:rPr>
          <w:lang w:val="el" w:eastAsia="el"/>
        </w:rPr>
      </w:pPr>
      <w:r>
        <w:rPr>
          <w:lang w:val="el" w:eastAsia="el"/>
        </w:rPr>
        <w:t>7. Την υπ’ αρ. 102928/10.7.2023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8. Την υπό στοιχεία ΥΠ512/10.7.2023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pStyle w:val="PreambelText"/>
        <w:spacing w:before="240" w:after="240"/>
        <w:rPr>
          <w:lang w:val="el" w:eastAsia="el"/>
        </w:rPr>
      </w:pPr>
      <w:r>
        <w:rPr>
          <w:lang w:val="el" w:eastAsia="el"/>
        </w:rPr>
        <w:t>9.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10.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με το π.δ. 82/2023 (Α’ 139), με το άρθρο 45 του ν. 5082/2024 (Α’ 9) και το άρθρο 59 του ν. 5102/2024 (Α’ 55).</w:t>
      </w:r>
    </w:p>
    <w:p>
      <w:pPr>
        <w:pStyle w:val="PreambelText"/>
        <w:spacing w:before="240" w:after="240"/>
        <w:rPr>
          <w:lang w:val="el" w:eastAsia="el"/>
        </w:rPr>
      </w:pPr>
      <w:r>
        <w:rPr>
          <w:lang w:val="el" w:eastAsia="el"/>
        </w:rPr>
        <w:t>11. Το π.δ. 70/2021 «Σύσταση Υπουργείου Κλιματικής Κρίσης και Πολιτικής Προστασίας, μεταφορά υπηρεσιών και αρμοδιοτήτων μεταξύ Υπουργείων» (Α’ 161). Το π.δ. 132/2017 «Οργανισμός Υπουργείου Περιβάλλοντος και Ενέργειας» (Α’ 160).</w:t>
      </w:r>
    </w:p>
    <w:p>
      <w:pPr>
        <w:pStyle w:val="PreambelText"/>
        <w:spacing w:before="240" w:after="240"/>
        <w:rPr>
          <w:lang w:val="el" w:eastAsia="el"/>
        </w:rPr>
      </w:pPr>
      <w:r>
        <w:rPr>
          <w:lang w:val="el" w:eastAsia="el"/>
        </w:rPr>
        <w:t>12. Το π.δ. 142/2017 «Οργανισμός Υπουργείου Οικονομικών» (Α’ 181).</w:t>
      </w:r>
    </w:p>
    <w:p>
      <w:pPr>
        <w:pStyle w:val="PreambelText"/>
        <w:spacing w:before="240" w:after="240"/>
        <w:rPr>
          <w:lang w:val="el" w:eastAsia="el"/>
        </w:rPr>
      </w:pPr>
      <w:r>
        <w:rPr>
          <w:lang w:val="el" w:eastAsia="el"/>
        </w:rPr>
        <w:t>13.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14.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PreambelText"/>
        <w:spacing w:before="240" w:after="240"/>
        <w:rPr>
          <w:lang w:val="el" w:eastAsia="el"/>
        </w:rPr>
      </w:pPr>
      <w:r>
        <w:rPr>
          <w:lang w:val="el" w:eastAsia="el"/>
        </w:rPr>
        <w:t>15. Την απόφαση του Υφυπουργού Περιβάλλοντος, Ενέργειας και Κλιματικής Αλλαγής «Κώδικας Προμήθειας Ηλεκτρικής Ενέργειας σε Πελάτες» (Β’ 832).</w:t>
      </w:r>
    </w:p>
    <w:p>
      <w:pPr>
        <w:pStyle w:val="PreambelText"/>
        <w:spacing w:before="240" w:after="240"/>
        <w:rPr>
          <w:lang w:val="el" w:eastAsia="el"/>
        </w:rPr>
      </w:pPr>
      <w:r>
        <w:rPr>
          <w:lang w:val="el" w:eastAsia="el"/>
        </w:rPr>
        <w:t>16. Την υπ’ αρ. 1412/2020/20 απόφαση της ΡΑΕ «Επανέκδοση του Κώδικα Διαχείρισης του Ελληνικού Συστήματος Μεταφοράς Ηλεκτρικής Ενέργειας, σύμφωνα με το άρθρο 96 του ν. 4001/2011, όπως ισχύει, στο πλαίσιο της αναδιοργάνωσης της ελληνικής αγοράς ηλεκτρικής ενέργειας και της εφαρμογής του Μοντέλου Στόχου» (Β’ 4658).</w:t>
      </w:r>
    </w:p>
    <w:p>
      <w:pPr>
        <w:pStyle w:val="PreambelText"/>
        <w:spacing w:before="240" w:after="240"/>
        <w:rPr>
          <w:lang w:val="el" w:eastAsia="el"/>
        </w:rPr>
      </w:pPr>
      <w:r>
        <w:rPr>
          <w:lang w:val="el" w:eastAsia="el"/>
        </w:rPr>
        <w:t>17. Την υπ’ αρ. 39/2014 απόφαση της ΡΑΕ «Κώδικας Διαχείρισης Ηλεκτρικών Συστημάτων Μη Διασυνδεδεμένων Νησιών (Κώδικας ΜΔΝ).</w:t>
      </w:r>
    </w:p>
    <w:p>
      <w:pPr>
        <w:pStyle w:val="PreambelText"/>
        <w:spacing w:before="240" w:after="240"/>
        <w:rPr>
          <w:lang w:val="el" w:eastAsia="el"/>
        </w:rPr>
      </w:pPr>
      <w:r>
        <w:rPr>
          <w:lang w:val="el" w:eastAsia="el"/>
        </w:rPr>
        <w:t>18. Την υπ’ αρ. 395/2016 απόφαση της ΡΑΕ «Κώδικας Διαχείρισης του Ελληνικού Δικτύου Διανομής Ηλεκτρικής Ενέργειας (ΕΔΔΗΕ) (Β’ 78).</w:t>
      </w:r>
    </w:p>
    <w:p>
      <w:pPr>
        <w:pStyle w:val="PreambelText"/>
        <w:spacing w:before="240" w:after="240"/>
        <w:rPr>
          <w:lang w:val="el" w:eastAsia="el"/>
        </w:rPr>
      </w:pPr>
      <w:r>
        <w:rPr>
          <w:lang w:val="el" w:eastAsia="el"/>
        </w:rPr>
        <w:t>19. Την υπ’ αρ. 1443/2020 απόφαση ΡΑΕ «Θέσπιση Εγχειριδίου Εκπροσώπησης Μετρητών και Περιοδικής Εκκαθάρισης» (Β’ 4737).</w:t>
      </w:r>
    </w:p>
    <w:p>
      <w:pPr>
        <w:pStyle w:val="PreambelText"/>
        <w:spacing w:before="240" w:after="240"/>
        <w:rPr>
          <w:lang w:val="el" w:eastAsia="el"/>
        </w:rPr>
      </w:pPr>
      <w:r>
        <w:rPr>
          <w:lang w:val="el" w:eastAsia="el"/>
        </w:rPr>
        <w:t>20. Tο άρθρο 46 του ν. 4456/2017 «Συμπληρωματικά μέτρα εφαρμογής του Κανονισμού (ΕΕ, ΕΥΡΑΤΟΜ) 1141/2014 περί ευρωπαϊκών πολιτικών κομμάτων και ιδρυμάτων, μέτρα επιτάχυνσης του κυβερνητικού έργου αρμοδιότητας Υπουργείου Εσωτερικών και άλλες διατάξεις» (Α’ 24).</w:t>
      </w:r>
    </w:p>
    <w:p>
      <w:pPr>
        <w:pStyle w:val="PreambelText"/>
        <w:spacing w:before="240" w:after="240"/>
        <w:rPr>
          <w:lang w:val="el" w:eastAsia="el"/>
        </w:rPr>
      </w:pPr>
      <w:r>
        <w:rPr>
          <w:lang w:val="el" w:eastAsia="el"/>
        </w:rPr>
        <w:t>21. Τα άρθρα 1 και 2 του ν. 1069/1980 «Περί κινήτρων δια την ίδρυσιν Επιχειρήσεων Υδρεύσεως και Αποχετεύσεως» (Α’ 191).</w:t>
      </w:r>
    </w:p>
    <w:p>
      <w:pPr>
        <w:pStyle w:val="PreambelText"/>
        <w:spacing w:before="240" w:after="240"/>
        <w:rPr>
          <w:lang w:val="el" w:eastAsia="el"/>
        </w:rPr>
      </w:pPr>
      <w:r>
        <w:rPr>
          <w:lang w:val="el" w:eastAsia="el"/>
        </w:rPr>
        <w:t>22. Το π.δ. 80/2016 «Ανάληψη υποχρεώσεων από τους διατάκτες» (Α’ 145).</w:t>
      </w:r>
    </w:p>
    <w:p>
      <w:pPr>
        <w:pStyle w:val="PreambelText"/>
        <w:spacing w:before="240" w:after="240"/>
        <w:rPr>
          <w:lang w:val="el" w:eastAsia="el"/>
        </w:rPr>
      </w:pPr>
      <w:r>
        <w:rPr>
          <w:lang w:val="el" w:eastAsia="el"/>
        </w:rPr>
        <w:t>23. Την υπό στοιχεία 23/2/2024 - ΥΠΕΝ/ΔΗΕ/20679/365 επιστολή της Γενικής Γραμματείας Ενέργειας και Ορυκτών Πρώτων Υλών προς τη Ρυθμιστική Αρχή Αποβλήτων, Ενέργειας και Υδάτων για παροχή γνώμης.</w:t>
      </w:r>
    </w:p>
    <w:p>
      <w:pPr>
        <w:pStyle w:val="PreambelText"/>
        <w:spacing w:before="240" w:after="240"/>
        <w:rPr>
          <w:lang w:val="el" w:eastAsia="el"/>
        </w:rPr>
      </w:pPr>
      <w:r>
        <w:rPr>
          <w:lang w:val="el" w:eastAsia="el"/>
        </w:rPr>
        <w:t>24. Την υπ’ αρ. 1/2024 γνωμοδότηση του κλάδου Ενέργειας της Ρυθμιστικής Αρχής Αποβλήτων, Ενέργειας και Υδάτων. (ΥΠΕΝ/ΔΗΕ/28619/515/15.3.2024).</w:t>
      </w:r>
    </w:p>
    <w:p>
      <w:pPr>
        <w:pStyle w:val="PreambelText"/>
        <w:spacing w:before="240" w:after="240"/>
        <w:rPr>
          <w:lang w:val="el" w:eastAsia="el"/>
        </w:rPr>
      </w:pPr>
      <w:r>
        <w:rPr>
          <w:lang w:val="el" w:eastAsia="el"/>
        </w:rPr>
        <w:t>25. Την από 01/04/2024 υπ’ αρ. 36/2024 γνώμη της ΚΕΜ- ΚΕ (εισερχ. ΥΠΕΝ/ΔΗΕΥΠΕΝ/ΔΗΕ/44828/816/24.04.24).</w:t>
      </w:r>
    </w:p>
    <w:p>
      <w:pPr>
        <w:pStyle w:val="PreambelText"/>
        <w:spacing w:before="240" w:after="240"/>
        <w:rPr>
          <w:lang w:val="el" w:eastAsia="el"/>
        </w:rPr>
      </w:pPr>
      <w:r>
        <w:rPr>
          <w:lang w:val="el" w:eastAsia="el"/>
        </w:rPr>
        <w:t>26. Τον Κανονισμό (ΕΚ) αριθ. 2013/1408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όπως τροποποιήθηκε με τον Καν. (ΕΕ) αριθ. 2019/316.</w:t>
      </w:r>
    </w:p>
    <w:p>
      <w:pPr>
        <w:pStyle w:val="PreambelText"/>
        <w:spacing w:before="240" w:after="240"/>
        <w:rPr>
          <w:lang w:val="el" w:eastAsia="el"/>
        </w:rPr>
      </w:pPr>
      <w:r>
        <w:rPr>
          <w:lang w:val="el" w:eastAsia="el"/>
        </w:rPr>
        <w:t>27. Τον Κανονισμό (ΕΚ) αριθ. 2014/717 της Επιτροπής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όπως τροποποιήθηκε με τον Καν. (ΕΕ) αριθ. 2020/2008.</w:t>
      </w:r>
    </w:p>
    <w:p>
      <w:pPr>
        <w:pStyle w:val="PreambelText"/>
        <w:spacing w:before="240" w:after="240"/>
        <w:rPr>
          <w:lang w:val="el" w:eastAsia="el"/>
        </w:rPr>
      </w:pPr>
      <w:r>
        <w:rPr>
          <w:lang w:val="el" w:eastAsia="el"/>
        </w:rPr>
        <w:t>28. Τον Κανονισμό (ΕΕ) αριθ. 2023/2831 της Επιτροπής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29. Το υπό στοιχεία ΥΠΕΝ/ΔΗΕ/59626/997/03-06-2024 Υπηρεσιακό Σημείωμα του Γενικού Διευθυντή Ενέργειας προς τη Γενική Διεύθυνση Οικονομικών Υπηρεσιών του Υπουργείου Περιβάλλοντος και Ενέργειας.</w:t>
      </w:r>
    </w:p>
    <w:p>
      <w:pPr>
        <w:pStyle w:val="PreambelText"/>
        <w:spacing w:before="240" w:after="240"/>
        <w:rPr>
          <w:lang w:val="el" w:eastAsia="el"/>
        </w:rPr>
      </w:pPr>
      <w:r>
        <w:rPr>
          <w:lang w:val="el" w:eastAsia="el"/>
        </w:rPr>
        <w:t>30. Την υπό στοιχεία ΥΠΕΝ/ΔΠΔΑ/59628/1303/ 03-06-2024 εισήγηση της Γενικής Διεύθυνσης Οικονομικών Υπηρεσιών του Υπουργείου Περιβάλλοντος και Ενέργειας.</w:t>
      </w:r>
    </w:p>
    <w:p>
      <w:pPr>
        <w:pStyle w:val="PreambelText"/>
        <w:spacing w:before="240" w:after="240"/>
        <w:rPr>
          <w:lang w:val="el" w:eastAsia="el"/>
        </w:rPr>
      </w:pPr>
      <w:r>
        <w:rPr>
          <w:lang w:val="el" w:eastAsia="el"/>
        </w:rPr>
        <w:t>31. Το γεγονός ότι, σύμφωνα και με την υπό σημείο 31 εισήγηση της Γενικής Διεύθυνσης Οικονομικών Υπηρεσιών, από τις διατάξεις της παρούσας απόφασης εκτιμάται ότι θα υπάρξει επιβάρυνση στον κρατικό προϋπολογισμό ύψους 2.700.000 € για το 2027 και 825.000 € κατ’ έτος για τα έτη 2028 - 2031. Η δαπάνη των ανωτέρω θα βαρύνει τον Τακτικό Προϋπολογισμό του ΥΠΕΝ και συγκεκριμένα τον ΑΛΕ 2310889001 «Επιχορηγήσεις σε λοιπά νομικά πρόσωπα για λοιπούς σκοπούς» του Ε.Φ. 1031-204-0000000. Τα ανωτέρω ποσά έχουν συμπεριληφθεί στην πρόταση για την κατάρτιση του ΜΠΔΣ 2025-2028.</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 εξειδικεύονται το πεδίο εφαρμογής, οι δικαιούχοι καταναλωτές ηλεκτρικής ενέργειας πληγεισών περιοχών, από τις πλημμύρες Σεπτεμβρίου 2023, οι όροι και οι προϋποθέσεις ρύθμισης οφειλών, τα απαιτούμενα δικαιολογητικά έγγραφα, ρυθμίζονται οι υποχρεώσεις των προμηθευτών και καθορίζεται η μεθοδολογία υπολογισμού της έντοκης επιβάρυνσης, καθώς και οποιαδήποτε άλλη αναγκαία λεπτομέρεια.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Οριοθέτηση Πληγεισών Περιοχών - Δικαιούχοι</w:t>
      </w:r>
    </w:p>
    <w:p>
      <w:pPr>
        <w:pStyle w:val="MainText"/>
        <w:spacing w:before="120" w:after="0"/>
        <w:rPr>
          <w:lang w:val="el" w:eastAsia="el"/>
        </w:rPr>
      </w:pPr>
      <w:r>
        <w:rPr>
          <w:b/>
          <w:bCs/>
          <w:lang w:val="el" w:eastAsia="el"/>
        </w:rPr>
        <w:t>1.</w:t>
      </w:r>
      <w:r>
        <w:rPr>
          <w:lang w:val="el" w:eastAsia="el"/>
        </w:rPr>
        <w:t xml:space="preserve"> Η οριοθέτηση των πληγεισών περιοχών αποτυπώνεται στις: A) υπό στοιχεία 20875/Δ.Α.Ε.Φ.Κ.-Κ.Ε./ Α325/04.10.2023 κοινή απόφαση των Υπουργών Εθνικής Οικονομίας και Οικονομικών, Εσωτερικών και Κλιματικής Κρίσης και Πολιτικής Προστασίας «Οριοθέτηση περιοχών και χορήγηση Στεγαστικής Συνδρομής για την αποκατάσταση των ζημιών σε κτήρια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5813, διόρθωση σφάλματος Β’ 5842), όπως τροποποιήθηκε με τις υπό στοιχεία 36972/Δ.Α.Ε.Φ.Κ.- Κ.Ε./Α325/03.12.2023 (Β’ 6842), 42081/Δ.Α.Ε.Φ.Κ.- Κ.Ε./ Α325/17.12.2023 (Β’ 7130) και 4579/Δ.Α.Ε.Φ.Κ.-Κ.Ε./ Α325/22.01.2024 (Β’ 430) κοινές υπουργικές αποφάσεις και B) υπό στοιχεία 45008/ΔΑΕΦΚ-ΚΕ/Α325/29.12.2023 κοινή απόφαση των Υπουργών Εθνικής Οικονομίας και Οικονομικών, Εσωτερικών και Κλιματικής Κρίσης και Πολιτικής Προστασίας: «Συμπληρωματική οριοθέτηση περιοχών και χορήγηση στεγαστικής συνδρομής για την αποκατάσταση των ζημιών σε κτήρια από τις πλημμύρες του Σεπτεμβρίου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γ) Ανατολικής Αττικής, Νήσων και Νότιου Τομέα Αθηνών, της Περιφέρειας Αττικής και δ) Αργολίδας, της Περιφέρειας Πελοποννήσου» (Β’ 7536).</w:t>
      </w:r>
    </w:p>
    <w:p>
      <w:pPr>
        <w:pStyle w:val="MainText"/>
        <w:spacing w:before="120" w:after="0"/>
        <w:rPr>
          <w:lang w:val="el" w:eastAsia="el"/>
        </w:rPr>
      </w:pPr>
      <w:r>
        <w:rPr>
          <w:b/>
          <w:bCs/>
          <w:lang w:val="el" w:eastAsia="el"/>
        </w:rPr>
        <w:t>2.</w:t>
      </w:r>
      <w:r>
        <w:rPr>
          <w:lang w:val="el" w:eastAsia="el"/>
        </w:rPr>
        <w:t xml:space="preserve"> Δικαιούχοι καταναλωτές ηλεκτρικής ενέργειας των πληγεισών περιοχών της παρ. 1 ορίζονται οι ακόλουθοι:</w:t>
      </w:r>
    </w:p>
    <w:p>
      <w:pPr>
        <w:pStyle w:val="StructureList1"/>
        <w:spacing w:before="120" w:after="0"/>
        <w:rPr>
          <w:lang w:val="el" w:eastAsia="el"/>
        </w:rPr>
      </w:pPr>
      <w:r>
        <w:rPr>
          <w:lang w:val="el" w:eastAsia="el"/>
        </w:rPr>
        <w:t>α)</w:t>
      </w:r>
      <w:r>
        <w:rPr>
          <w:lang w:val="en" w:eastAsia="en"/>
        </w:rPr>
        <w:tab/>
      </w:r>
      <w:r>
        <w:rPr>
          <w:lang w:val="el" w:eastAsia="el"/>
        </w:rPr>
        <w:t>Τελικοί Πελάτες Ηλεκτρικής Ενέργειας, που κατά την 4η.9.2023 ήταν συνδεδεμένοι με το δίκτυο μεταφοράς ή το δίκτυο διανομής ηλεκτρικής ενέργειας με παροχή αγροτικής χρήσης ανεξαρτήτου ισχύος, σύμφωνα με το Μητρώο που διατηρεί ο αρμόδιος Διαχειριστής, όπως έχει ενημερωθεί από τον εκάστοτε Προμηθευτή Ηλεκτρικής Ενέργειας.</w:t>
      </w:r>
    </w:p>
    <w:p>
      <w:pPr>
        <w:pStyle w:val="StructureList1"/>
        <w:spacing w:before="120" w:after="0"/>
        <w:rPr>
          <w:lang w:val="el" w:eastAsia="el"/>
        </w:rPr>
      </w:pPr>
      <w:r>
        <w:rPr>
          <w:lang w:val="el" w:eastAsia="el"/>
        </w:rPr>
        <w:t>β)</w:t>
      </w:r>
      <w:r>
        <w:rPr>
          <w:lang w:val="en" w:eastAsia="en"/>
        </w:rPr>
        <w:tab/>
      </w:r>
      <w:r>
        <w:rPr>
          <w:lang w:val="el" w:eastAsia="el"/>
        </w:rPr>
        <w:t>Τελικοί Πελάτες Ηλεκτρικής Ενέργειας, που κατά την 4η.9.2023 ήταν συνδεδεμένοι με το δίκτυο μεταφοράς ή το δίκτυο διανομής ηλεκτρικής ενέργειας και αποτελούν Οργανισμό Εγγείων Βελτιώσεων (ΤΟΕΒ/ΓΟΕΒ) με παροχές για σκοπούς άρδευσης.</w:t>
      </w:r>
    </w:p>
    <w:p>
      <w:pPr>
        <w:pStyle w:val="StructureList1"/>
        <w:spacing w:before="120" w:after="0"/>
        <w:rPr>
          <w:lang w:val="el" w:eastAsia="el"/>
        </w:rPr>
      </w:pPr>
      <w:r>
        <w:rPr>
          <w:lang w:val="el" w:eastAsia="el"/>
        </w:rPr>
        <w:t>γ)</w:t>
      </w:r>
      <w:r>
        <w:rPr>
          <w:lang w:val="en" w:eastAsia="en"/>
        </w:rPr>
        <w:tab/>
      </w:r>
      <w:r>
        <w:rPr>
          <w:lang w:val="el" w:eastAsia="el"/>
        </w:rPr>
        <w:t>Τελικοί Πελάτες Ηλεκτρικής Ενέργειας, που κατά την 4η.9.2023 ήταν συνδεδεμένοι με το δίκτυο μεταφοράς ή το δίκτυο διανομής ηλεκτρικής ενέργειας και αποτελούν Οργανισμούς Τοπικής Αυτοδιοίκησης Α’ και Β’ βαθμού με παροχές για σκοπούς άρδευσης.</w:t>
      </w:r>
    </w:p>
    <w:p>
      <w:pPr>
        <w:pStyle w:val="MainText"/>
        <w:spacing w:before="120" w:after="0"/>
        <w:rPr>
          <w:lang w:val="el" w:eastAsia="el"/>
        </w:rPr>
      </w:pPr>
      <w:r>
        <w:rPr>
          <w:b/>
          <w:bCs/>
          <w:lang w:val="el" w:eastAsia="el"/>
        </w:rPr>
        <w:t>3.</w:t>
      </w:r>
      <w:r>
        <w:rPr>
          <w:lang w:val="el" w:eastAsia="el"/>
        </w:rPr>
        <w:t xml:space="preserve"> Ειδικά οι δικαιούχοι καταναλωτές ηλεκτρικής ενέργειας της ανωτέρω περίπτωσης α) εμπίπτουν σε καθεστώς για τη χορήγηση κρατικών ενισχύσεων ήσσονος σημασίας (de minimis), σύμφωνα με τον Κανονισμό (ΕΚ) αριθ. 2013/1408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όπως τροποποιήθηκε με τον Καν. (ΕΕ) αριθ. 2019/316 και τον Κανονισμό (ΕΚ) αριθ. 2014/717 της Επιτροπής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όπως τροποποιήθηκε με τον Καν. (ΕΕ) αριθ. 2020/2008.</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ένταξης δικαιούχων στη ρύθμιση</w:t>
      </w:r>
    </w:p>
    <w:p>
      <w:pPr>
        <w:pStyle w:val="MainText"/>
        <w:spacing w:before="120" w:after="0"/>
        <w:rPr>
          <w:lang w:val="el" w:eastAsia="el"/>
        </w:rPr>
      </w:pPr>
      <w:r>
        <w:rPr>
          <w:b/>
          <w:bCs/>
          <w:lang w:val="el" w:eastAsia="el"/>
        </w:rPr>
        <w:t>1.</w:t>
      </w:r>
      <w:r>
        <w:rPr>
          <w:lang w:val="el" w:eastAsia="el"/>
        </w:rPr>
        <w:t xml:space="preserve"> O δυνητικός δικαιούχος υποβάλλει, μετά από ταυτοποίηση με κωδικούς TaxisNet, ηλεκτρονική αίτηση, ξεχωριστή για κάθε παροχή που επιθυμεί να εντάξει στο μέτρο, σε ειδική διαδικτυακή πύλη του Διαχειριστή Ελληνικού δικτύου Διανομής Ηλεκτρικής Ενέργειας (εφεξής ΔΕΔΔΗΕ), από την 10.06.2024 έως και την 15.07.2024. Σε κάθε αίτηση δηλώνονται το ονοματεπώνυμο, το ΑΦΜ, ο αριθμός της παροχής, το κινητό τηλέφωνο, και η διεύθυνση ηλεκτρονικού ταχυδρομείου (e-mail) του δυνητικού δικαιούχου, εφόσον υπάρχει, και ειδικά για δυνητικούς δικαιούχους των περ. β) και γ) της παρ. 2 του άρθρου 1 της παρούσας, ότι πρόκειται για παροχή αποκλειστικά για σκοπούς άρδευσης. Η αίτηση υπέχει θέση υπεύθυνης δήλωσης του άρθρου 8 του ν. 1599/1986.</w:t>
      </w:r>
    </w:p>
    <w:p>
      <w:pPr>
        <w:pStyle w:val="MainText"/>
        <w:spacing w:before="120" w:after="0"/>
        <w:rPr>
          <w:lang w:val="el" w:eastAsia="el"/>
        </w:rPr>
      </w:pPr>
      <w:r>
        <w:rPr>
          <w:b/>
          <w:bCs/>
          <w:lang w:val="el" w:eastAsia="el"/>
        </w:rPr>
        <w:t>2.</w:t>
      </w:r>
      <w:r>
        <w:rPr>
          <w:lang w:val="el" w:eastAsia="el"/>
        </w:rPr>
        <w:t xml:space="preserve"> Ο ΔΕΔΔΗΕ αποστέλλει, έως την 30.07.2024, στους Προμηθευτές ηλεκτρικής ενέργειας, που εκπροσωπούσαν τις παροχές την 4η Σεπτεμβρίου 2023, συγκεντρωτική κατάσταση με τις παροχές των δυνητικών δικαιούχων, η οποία περιέχει κατ’ ελάχιστον το ονοματεπώνυμο, τον ΑΦΜ, τον αριθμό της παροχής και την τυποποιημένη χρήση, το κινητό τηλέφωνο και το email (εφόσον υπάρχει) του δυνητικού δικαιούχου και την κοινοποιεί στο Υπουργείο Περιβάλλοντος και Ενέργειας (εφεξής ΥΠΕΝ). Τα ανωτέρω στοιχεία διατηρούνται από τον ΔΕΔΔΗΕ έως και την 31η Δεκεμβρίου του έτους 2029.</w:t>
      </w:r>
    </w:p>
    <w:p>
      <w:pPr>
        <w:pStyle w:val="MainText"/>
        <w:spacing w:before="120" w:after="0"/>
        <w:rPr>
          <w:lang w:val="el" w:eastAsia="el"/>
        </w:rPr>
      </w:pPr>
      <w:r>
        <w:rPr>
          <w:b/>
          <w:bCs/>
          <w:lang w:val="el" w:eastAsia="el"/>
        </w:rPr>
        <w:t>3.</w:t>
      </w:r>
      <w:r>
        <w:rPr>
          <w:lang w:val="el" w:eastAsia="el"/>
        </w:rPr>
        <w:t xml:space="preserve"> Οι Προμηθευτές ηλεκτρικής ενέργειας ελέγχουν αν οι δυνητικοί δικαιούχοι βρίσκονται σε πληγείσες περιοχές βάσει του πίνακα του Παραρτήματος ΙΙΙ της παρούσας και στη συνέχεια ενημερώνουν με κάθε πρόσφορο μέσο τους δυνητικούς δικαιούχους για τα παρεχόμενα προγράμματα ρυθμίσεων οφειλών, που καταρτίζονται βάσει των διατάξεων της παρούσας.</w:t>
      </w:r>
    </w:p>
    <w:p>
      <w:pPr>
        <w:pStyle w:val="MainText"/>
        <w:spacing w:before="120" w:after="0"/>
        <w:rPr>
          <w:lang w:val="el" w:eastAsia="el"/>
        </w:rPr>
      </w:pPr>
      <w:r>
        <w:rPr>
          <w:b/>
          <w:bCs/>
          <w:lang w:val="el" w:eastAsia="el"/>
        </w:rPr>
        <w:t>4.</w:t>
      </w:r>
      <w:r>
        <w:rPr>
          <w:lang w:val="el" w:eastAsia="el"/>
        </w:rPr>
        <w:t xml:space="preserve"> Έως την 30η.9.2024, ο δυνητικός δικαιούχος υποβάλλει αίτημα ρύθμισης οφειλής προς τον Προμηθευτή, επιλέγοντας το πρόγραμμα ρύθμισης (χρηματικό ποσό ρύθμισης, χρονικό διάστημα αποπληρωμής) που επιθυμεί και εντάσσεται στη ρύθμιση.</w:t>
      </w:r>
    </w:p>
    <w:p>
      <w:pPr>
        <w:pStyle w:val="MainText"/>
        <w:spacing w:before="120" w:after="0"/>
        <w:rPr>
          <w:lang w:val="el" w:eastAsia="el"/>
        </w:rPr>
      </w:pPr>
      <w:r>
        <w:rPr>
          <w:b/>
          <w:bCs/>
          <w:lang w:val="el" w:eastAsia="el"/>
        </w:rPr>
        <w:t>5.</w:t>
      </w:r>
      <w:r>
        <w:rPr>
          <w:lang w:val="el" w:eastAsia="el"/>
        </w:rPr>
        <w:t xml:space="preserve"> Οι Προμηθευτές ηλεκτρικής ενέργειας αποστέλλουν, μέχρι την 31η.10.2024, στην Γενική Διεύθυνση Οικονομικών Υπηρεσιών, στην Γενική Διεύθυνση Ενέργειας του ΥΠΕΝ και στη ΔΕΔΔΗΕ ΑΕ, αναλυτική κατάσταση ανά παροχή και δικαιούχο, η οποία περιλαμβάνει τα ποσά ανεξόφλητων οφειλών και τους υπολογιζόμενους τόκους με βάσει το επιτόκιο του άρθρου 5, καθώς και συγκεντρωτική κατάσταση με το σύνολο των ανεξόφλητων οφειλών και των υπολογιζόμενων τόκων.</w:t>
      </w:r>
    </w:p>
    <w:p>
      <w:pPr>
        <w:pStyle w:val="MainText"/>
        <w:spacing w:before="120" w:after="0"/>
        <w:rPr>
          <w:lang w:val="el" w:eastAsia="el"/>
        </w:rPr>
      </w:pPr>
      <w:r>
        <w:rPr>
          <w:b/>
          <w:bCs/>
          <w:lang w:val="el" w:eastAsia="el"/>
        </w:rPr>
        <w:t>6.</w:t>
      </w:r>
      <w:r>
        <w:rPr>
          <w:lang w:val="el" w:eastAsia="el"/>
        </w:rPr>
        <w:t xml:space="preserve"> Μετά την ένταξη στη ρύθμιση, ο εκάστοτε Προμηθευτής ενημερώνει ειδικά τους δικαιούχους της περ. α) της παρ. 2 του άρθρου 2 της παρούσας, για το ποσό της έντοκης επιβάρυνσης που θα λάβουν ως ενίσχυση τόσο ανά έτος, αρχής γενομένης το έτος 2027, όσο και συνολικά για όλη την διάρκεια ισχύος του μέτρου. Κατά την ενημέρωση επισημαίνεται ότι η ενίσχυση χορηγείται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Οι δικαιούχοι υποβάλλουν υποχρεωτικά στον Προμηθευτή, που εκπροσωπούσε την παροχή στις 4.09.2023, την υπεύθυνη δήλωση των Παραρτημάτων Ι ή II ανάλογα με τον τομέα δραστηριοποίησης του εκάστοτε δικαιούχου, ψηφιακά υπογεγραμμένη μέσω gov.gr. Η υποβολή της αρχικής Υπεύθυνης Δήλωσης γίνεται εντός του Σεπτεμβρίου του έτους 2026. Αντίστοιχη Υπεύθυνη Δήλωση υποβάλλεται εντός του μηνός Σεπτεμβρίου για έκαστο έτος παραμονής του δικαιούχου στη ρύθμιση.</w:t>
      </w:r>
    </w:p>
    <w:p>
      <w:pPr>
        <w:pStyle w:val="StructureList1"/>
        <w:spacing w:before="120" w:after="0"/>
        <w:rPr>
          <w:lang w:val="el" w:eastAsia="el"/>
        </w:rPr>
      </w:pPr>
      <w:r>
        <w:rPr>
          <w:lang w:val="el" w:eastAsia="el"/>
        </w:rPr>
        <w:t>β)</w:t>
      </w:r>
      <w:r>
        <w:rPr>
          <w:lang w:val="en" w:eastAsia="en"/>
        </w:rPr>
        <w:tab/>
      </w:r>
      <w:r>
        <w:rPr>
          <w:lang w:val="el" w:eastAsia="el"/>
        </w:rPr>
        <w:t>Το ύψος της ενίσχυσης δεν υπερβαίνει τα όρια της παρ. 2 του άρθρου 7.</w:t>
      </w:r>
    </w:p>
    <w:p>
      <w:pPr>
        <w:pStyle w:val="StructureList1"/>
        <w:spacing w:before="120" w:after="0"/>
        <w:rPr>
          <w:lang w:val="el" w:eastAsia="el"/>
        </w:rPr>
      </w:pPr>
      <w:r>
        <w:rPr>
          <w:lang w:val="el" w:eastAsia="el"/>
        </w:rPr>
        <w:t>γ)</w:t>
      </w:r>
      <w:r>
        <w:rPr>
          <w:lang w:val="en" w:eastAsia="en"/>
        </w:rPr>
        <w:tab/>
      </w:r>
      <w:r>
        <w:rPr>
          <w:lang w:val="el" w:eastAsia="el"/>
        </w:rPr>
        <w:t>Οι δικαιούχοι τηρούν τους όρους της ρύθμισης για όλη την διάρκεια ισχύος της. Οι ανωτέρω προϋποθέσεις συντρέχουν σωρευτικά και σε περίπτωση μη πλήρωσης έστω και μίας εξ αυτών ο καταναλωτής ηλεκτρικής ενέργειας δε λαμβάνει την ενίσχυση και η έντοκη επιβάρυνση βαρύνει τον ίδιο.</w:t>
      </w:r>
    </w:p>
    <w:p>
      <w:pPr>
        <w:pStyle w:val="MainText"/>
        <w:spacing w:before="120" w:after="0"/>
        <w:rPr>
          <w:lang w:val="el" w:eastAsia="el"/>
        </w:rPr>
      </w:pPr>
      <w:r>
        <w:rPr>
          <w:b/>
          <w:bCs/>
          <w:lang w:val="el" w:eastAsia="el"/>
        </w:rPr>
        <w:t>7.</w:t>
      </w:r>
      <w:r>
        <w:rPr>
          <w:lang w:val="el" w:eastAsia="el"/>
        </w:rPr>
        <w:t xml:space="preserve"> Ο Προμηθευτής διαβιβάζει το αργότερο έως την 31η Οκτωβρίου έκαστου έτους στη ΔΕΔΔΗΕ ΑΕ τις Υπεύθυνες Δηλώσεις μαζί με τα προϋπολογισθέντα ανά δικαιούχο ποσά ενίσχυσης που αφορούν στο επόμενο έτος. Η αποστολή των ανωτέρω στοιχείων πραγματοποιείται με κατάλληλη γραμμογράφηση, ώστε να είναι συμβατή με το πληροφοριακό σύστημα του της ΔΕΔΔΗΕ ΑΕ και να εξασφαλίζεται η διαλειτουργικότητα.</w:t>
      </w:r>
    </w:p>
    <w:p>
      <w:pPr>
        <w:pStyle w:val="MainText"/>
        <w:spacing w:before="120" w:after="0"/>
        <w:rPr>
          <w:lang w:val="el" w:eastAsia="el"/>
        </w:rPr>
      </w:pPr>
      <w:r>
        <w:rPr>
          <w:b/>
          <w:bCs/>
          <w:lang w:val="el" w:eastAsia="el"/>
        </w:rPr>
        <w:t>8.</w:t>
      </w:r>
      <w:r>
        <w:rPr>
          <w:lang w:val="el" w:eastAsia="el"/>
        </w:rPr>
        <w:t xml:space="preserve"> Η ΔΕΔΔΗΕ ΑΕ αποστέλλει κατόπιν ελέγχου, μέχρι την 31η Δεκεμβρίου έκαστου έτους, στους Προμηθευτές και τη Γενική Διεύθυνση Ενέργειας του ΥΠΕΝ τελική λίστα δικαιούχων, με το ποσό που δύναται να λάβει έκαστος ως κρατική ενίσχυση. Η ενίσχυση, ήτοι η αποπληρωμή της έντοκης επιβάρυνσης των οφειλών, καταβάλλεται από το δημόσιο μόνο εφόσον, μετά τον ανωτέρω έλεγχο, ο καταναλωτής ηλεκτρικής ενέργειας που έχει ενταχθεί στη ρύθμιση του παρόντος άρθρου περιλαμβάνεται στην τελική λίστα της ΔΕΔΔΗΕ ΑΕ. Σε αντίθετη περίπτωση, ο καταναλωτής ηλεκτρικής ενέργειας δεν καθίσταται δικαιούχος λήψης της ενίσχυσης και η έντοκη επιβάρυνση βαρύνει τον ίδιο.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Όροι και Προϋποθέσεις ρύθμισης των οφειλών</w:t>
      </w:r>
    </w:p>
    <w:p>
      <w:pPr>
        <w:pStyle w:val="MainText"/>
        <w:spacing w:before="120" w:after="0"/>
        <w:rPr>
          <w:lang w:val="el" w:eastAsia="el"/>
        </w:rPr>
      </w:pPr>
      <w:r>
        <w:rPr>
          <w:b/>
          <w:bCs/>
          <w:lang w:val="el" w:eastAsia="el"/>
        </w:rPr>
        <w:t>1.</w:t>
      </w:r>
      <w:r>
        <w:rPr>
          <w:lang w:val="el" w:eastAsia="el"/>
        </w:rPr>
        <w:t xml:space="preserve"> Οι προϋποθέσεις για τη ρύθμιση των οφειλών των δικαιούχων προς τους Προμηθευτές ηλεκτρικής ενέργειας που πρέπει να πληρούνται συνολικά είναι οι ακόλουθες:</w:t>
      </w:r>
    </w:p>
    <w:p>
      <w:pPr>
        <w:spacing w:before="240" w:after="240"/>
        <w:rPr>
          <w:lang w:val="el" w:eastAsia="el"/>
        </w:rPr>
      </w:pPr>
      <w:r>
        <w:rPr>
          <w:lang w:val="el" w:eastAsia="el"/>
        </w:rPr>
        <w:t>(α) Να υπάρχει οφειλή για την προμήθεια ηλεκτρικής ενέργειας για περίοδο κατανάλωσης πριν την 30η Σεπτεμβρίου 2023.</w:t>
      </w:r>
    </w:p>
    <w:p>
      <w:pPr>
        <w:spacing w:before="240" w:after="240"/>
        <w:rPr>
          <w:lang w:val="el" w:eastAsia="el"/>
        </w:rPr>
      </w:pPr>
      <w:r>
        <w:rPr>
          <w:lang w:val="el" w:eastAsia="el"/>
        </w:rPr>
        <w:t>(β) Το ποσό της οφειλής που δύναται να ρυθμιστεί είναι η οφειλή του δικαιούχου που έχει δημιουργηθεί από ανεξόφλητους λογαριασμούς κατανάλωσης ηλεκτρικής ενέργειας μέχρι και την 30η Σεπτεμβρίου 2023. Οι λογαριασμοί κατανάλωσης πρέπει να έχουν εκδοθεί μέχρι την ημερομηνία δημοσίευσης της παρούσας. Σε καμία περίπτωση δεν περιλαμβάνονται στο πεδίο εφαρμογής οφειλές από λογαριασμούς καταναλώσεων περιόδου από την 1η Οκτωβρίου 2023 και εφεξής.</w:t>
      </w:r>
    </w:p>
    <w:p>
      <w:pPr>
        <w:spacing w:before="240" w:after="240"/>
        <w:rPr>
          <w:lang w:val="el" w:eastAsia="el"/>
        </w:rPr>
      </w:pPr>
      <w:r>
        <w:rPr>
          <w:lang w:val="el" w:eastAsia="el"/>
        </w:rPr>
        <w:t>(γ) Το ποσό της οφειλής σχετικά με την προμήθεια ηλεκτρικής ενέργειας να είναι μεγαλύτερο των 100 ευρώ.</w:t>
      </w:r>
    </w:p>
    <w:p>
      <w:pPr>
        <w:pStyle w:val="MainText"/>
        <w:spacing w:before="120" w:after="0"/>
        <w:rPr>
          <w:lang w:val="el" w:eastAsia="el"/>
        </w:rPr>
      </w:pPr>
      <w:r>
        <w:rPr>
          <w:b/>
          <w:bCs/>
          <w:lang w:val="el" w:eastAsia="el"/>
        </w:rPr>
        <w:t>2.</w:t>
      </w:r>
      <w:r>
        <w:rPr>
          <w:lang w:val="el" w:eastAsia="el"/>
        </w:rPr>
        <w:t xml:space="preserve"> Οι όροι αποπληρωμής των οφειλών της παραγράφου 1 είναι οι ακόλουθοι:</w:t>
      </w:r>
    </w:p>
    <w:p>
      <w:pPr>
        <w:spacing w:before="240" w:after="240"/>
        <w:rPr>
          <w:lang w:val="el" w:eastAsia="el"/>
        </w:rPr>
      </w:pPr>
      <w:r>
        <w:rPr>
          <w:lang w:val="el" w:eastAsia="el"/>
        </w:rPr>
        <w:t>(α) Αναστέλλεται η είσπραξη των οφειλών για τα έτη 2024 και 2025 που αφορούν στην προμήθεια ηλεκτρικής ενέργειας για καταναλώσεις μέχρι και την 30ή Σεπτεμβρίου 2023. Κατά τη χρονική περίοδο αναστολής είσπραξης του ποσού της οφειλής, αναστέλλονται όλες οι προβλεπόμενες στον Κώδικα Προμήθειας ενέργειες του Προμηθευτή (εντολές αποκοπής/καταγγελία/ παύση εκπροσώπησης/εξώδικες οχλήσεις κ.λπ.) για το συγκεκριμένο ποσό οφειλής του πεδίου εφαρμογής της παρούσας.</w:t>
      </w:r>
    </w:p>
    <w:p>
      <w:pPr>
        <w:spacing w:before="240" w:after="240"/>
        <w:rPr>
          <w:lang w:val="el" w:eastAsia="el"/>
        </w:rPr>
      </w:pPr>
      <w:r>
        <w:rPr>
          <w:lang w:val="el" w:eastAsia="el"/>
        </w:rPr>
        <w:t>(β) Οι δόσεις σχετικά με την αποπληρωμή του συνολικού ποσού της οφειλής ξεκινούν την 1.1.2026, είναι ισόποσες και δεν υπερβαίνουν τις 60 μηνιαίες. Σε κάθε περίπτωση η αποπληρωμή της οφειλής θα πρέπει να γίνει μέχρι την 31η.12.2030. Ο δικαιούχος οφείλει να εξοφλεί εμπρόθεσμα τις μηνιαίες δόσεις του προγράμματος. Σε διαφορετική περίπτωση, ο δικαιούχος εξαιρείται από τη ρύθμιση μετά την παρέλευση 30 ημερολογιακών ημερών από την προθεσμία εξόφλησης και ο Προμηθευτής δύναται να εφαρμόσει τα προβλεπόμενα στον Κώδικα Προμήθειας.</w:t>
      </w:r>
    </w:p>
    <w:p>
      <w:pPr>
        <w:spacing w:before="240" w:after="240"/>
        <w:rPr>
          <w:lang w:val="el" w:eastAsia="el"/>
        </w:rPr>
      </w:pPr>
      <w:r>
        <w:rPr>
          <w:lang w:val="el" w:eastAsia="el"/>
        </w:rPr>
        <w:t>(γ) Το επιτόκιο για τον δικαιούχο, όσον αφορά στην αποπληρωμή της οφειλής του είναι 0,00% για την περίοδο από την έναρξη ισχύος της παρούσης μέχρι την 31η.12.2030.</w:t>
      </w:r>
    </w:p>
    <w:p>
      <w:pPr>
        <w:spacing w:before="240" w:after="240"/>
        <w:rPr>
          <w:lang w:val="el" w:eastAsia="el"/>
        </w:rPr>
      </w:pPr>
      <w:r>
        <w:rPr>
          <w:lang w:val="el" w:eastAsia="el"/>
        </w:rPr>
        <w:t>(δ) Κάθε προμηθευτής δύναται να εφαρμόσει τη δυνατότητα χορήγησης εκπτώσεων στο δικαιούχο ανάλογα με το χρόνο εξόφλησης της οφειλής από αυτόν, βάσει των διαδικασιών του και του επιχειρησιακού πλάνου του.</w:t>
      </w:r>
    </w:p>
    <w:p>
      <w:pPr>
        <w:spacing w:before="240" w:after="240"/>
        <w:rPr>
          <w:lang w:val="el" w:eastAsia="el"/>
        </w:rPr>
      </w:pPr>
      <w:r>
        <w:rPr>
          <w:lang w:val="el" w:eastAsia="el"/>
        </w:rPr>
        <w:t>(ε) Αρχής γενομένης από 1ης.1.2026 κάθε προμηθευτής οφείλει να ενημερώνει αναλυτικά τον δικαιούχο σχετικά με την εξέλιξη της αποπληρωμής του επιλεχθέντος προγράμματος ρύθμισης μέσω του λογαριασμού κατανάλωσης ηλεκτρικής ενέργειας, και ιδίως σε περιπτώσεις όπου ο προμηθευτής σταματά να εκπροσωπεί την παροχή με έντυπη ή ηλεκτρονική επιστολή.</w:t>
      </w:r>
    </w:p>
    <w:p>
      <w:pPr>
        <w:pStyle w:val="MainText"/>
        <w:spacing w:before="120" w:after="0"/>
        <w:rPr>
          <w:lang w:val="el" w:eastAsia="el"/>
        </w:rPr>
      </w:pPr>
      <w:r>
        <w:rPr>
          <w:b/>
          <w:bCs/>
          <w:lang w:val="el" w:eastAsia="el"/>
        </w:rPr>
        <w:t>3.</w:t>
      </w:r>
      <w:r>
        <w:rPr>
          <w:lang w:val="el" w:eastAsia="el"/>
        </w:rPr>
        <w:t xml:space="preserve"> Ένταξη στη ρύθμιση της παρούσας και ένταξη στη ρύθμιση του άρθρου 30 του ν. 5095/2024 (Α’ 40), για το χρονικό διάστημα ισχύος της πρώτης, είναι αμοιβαία αποκλειόμενες ενέργειες για το ίδιο φυσικό ή νομικό πρόσωπο.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Μεθοδολογία υπολογισμού</w:t>
      </w:r>
    </w:p>
    <w:p>
      <w:pPr>
        <w:spacing w:before="240" w:after="240"/>
        <w:rPr>
          <w:lang w:val="el" w:eastAsia="el"/>
        </w:rPr>
      </w:pPr>
      <w:r>
        <w:rPr>
          <w:lang w:val="el" w:eastAsia="el"/>
        </w:rPr>
        <w:t>της έντοκης επιβάρυνσης</w:t>
      </w:r>
    </w:p>
    <w:p>
      <w:pPr>
        <w:pStyle w:val="MainText"/>
        <w:spacing w:before="120" w:after="0"/>
        <w:rPr>
          <w:lang w:val="el" w:eastAsia="el"/>
        </w:rPr>
      </w:pPr>
      <w:r>
        <w:rPr>
          <w:b/>
          <w:bCs/>
          <w:lang w:val="el" w:eastAsia="el"/>
        </w:rPr>
        <w:t>1.</w:t>
      </w:r>
      <w:r>
        <w:rPr>
          <w:lang w:val="el" w:eastAsia="el"/>
        </w:rPr>
        <w:t xml:space="preserve"> Οι υπαχθείσες στη ρύθμιση οφειλές επιβαρύνονται, από την 1η Οκτωβρίου 2023, με τον τόκο της υποπερ. α’ της περ. 3 της υποπαρ. Α2 της παρ. Α του άρθρου πρώτου του ν. 4152/2013 (Α’ 107), όπως είχε διαμορφωθεί κατά την ημερομηνία αυτή (1η.10.2023), ετησίως υπολογιζόμενο. Το επιτόκιο παραμένει σταθερό καθ’ όλη τη διάρκεια του μέτρου.</w:t>
      </w:r>
    </w:p>
    <w:p>
      <w:pPr>
        <w:pStyle w:val="MainText"/>
        <w:spacing w:before="120" w:after="0"/>
        <w:rPr>
          <w:lang w:val="el" w:eastAsia="el"/>
        </w:rPr>
      </w:pPr>
      <w:r>
        <w:rPr>
          <w:b/>
          <w:bCs/>
          <w:lang w:val="el" w:eastAsia="el"/>
        </w:rPr>
        <w:t>2.</w:t>
      </w:r>
      <w:r>
        <w:rPr>
          <w:lang w:val="el" w:eastAsia="el"/>
        </w:rPr>
        <w:t xml:space="preserve"> Όλοι οι τόκοι υπολογίζονται αναλόγως του αριθμού των δόσεων που επιλέγονται από τον οφειλέτη κατά τη διαδικασία ένταξης στη ρύθμιση του άρθρου 3 της παρούσας και επιμερίζονται ισόποσα σε κάθε δόση.</w:t>
      </w:r>
    </w:p>
    <w:p>
      <w:pPr>
        <w:pStyle w:val="MainText"/>
        <w:spacing w:before="120" w:after="0"/>
        <w:rPr>
          <w:lang w:val="el" w:eastAsia="el"/>
        </w:rPr>
      </w:pPr>
      <w:r>
        <w:rPr>
          <w:b/>
          <w:bCs/>
          <w:lang w:val="el" w:eastAsia="el"/>
        </w:rPr>
        <w:t>3.</w:t>
      </w:r>
      <w:r>
        <w:rPr>
          <w:lang w:val="el" w:eastAsia="el"/>
        </w:rPr>
        <w:t xml:space="preserve"> Αρχής γενομένης την 1η.01.2027 το Υπουργείο Περιβάλλοντος και Ενέργειας καταβάλει ετησίως στον εκάστοτε προμηθευτή τους τόκους που αναλογούν στο ποσό που εξοφλήθηκε κατά το προηγούμενο έτος.</w:t>
      </w:r>
    </w:p>
    <w:p>
      <w:pPr>
        <w:pStyle w:val="MainText"/>
        <w:spacing w:before="120" w:after="0"/>
        <w:rPr>
          <w:lang w:val="el" w:eastAsia="el"/>
        </w:rPr>
      </w:pPr>
      <w:r>
        <w:rPr>
          <w:b/>
          <w:bCs/>
          <w:lang w:val="el" w:eastAsia="el"/>
        </w:rPr>
        <w:t>4.</w:t>
      </w:r>
      <w:r>
        <w:rPr>
          <w:lang w:val="el" w:eastAsia="el"/>
        </w:rPr>
        <w:t xml:space="preserve"> Σε περίπτωση μη καταβολής οφειλόμενης δόσης ο δικαιούχος παύει να είναι λήπτης της ενίσχυσης και οι υπολειπόμενοι τόκοι βαρύνουν αποκλειστικώς τον ίδιο. Σε περίπτωση υπέρβασης του ορίου σώρευσης ειδικά για τους δικαιούχους της περ. α) της παρ. 2 του άρθρου 2 της παρούσας, η ενίσχυση χορηγείται μέχρι του ορίου αυτού και οι υπολειπόμενοι τόκοι βαρύνουν αποκλειστικώς τον οφειλέτη.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Χρηματοδότηση και Διαδικασία Καταβολής της Έντοκης Επιβάρυνσης στον Προμηθευτή.</w:t>
      </w:r>
    </w:p>
    <w:p>
      <w:pPr>
        <w:pStyle w:val="MainText"/>
        <w:spacing w:before="120" w:after="0"/>
        <w:rPr>
          <w:lang w:val="el" w:eastAsia="el"/>
        </w:rPr>
      </w:pPr>
      <w:r>
        <w:rPr>
          <w:b/>
          <w:bCs/>
          <w:lang w:val="el" w:eastAsia="el"/>
        </w:rPr>
        <w:t>1.</w:t>
      </w:r>
      <w:r>
        <w:rPr>
          <w:lang w:val="el" w:eastAsia="el"/>
        </w:rPr>
        <w:t xml:space="preserve"> Η δαπάνη που προκύπτει από την εφαρμογή της παρούσας απόφασης βαρύνει τον προϋπολογισμό του ΥΠΕΝ σε βάρος των πιστώσεων του EΦ 1031-2040000000 και ΑΛΕ 2310889001 (Επιχορηγήσεις σε λοιπά νομικά πρόσωπα για λοιπούς σκοπούς) του τακτικού προϋπολογισμού του ΥΠΕΝ. Η Διεύθυνση Ηλεκτρικής Ενέργειας μεριμνά και εισηγείται στην αρμόδια υπηρεσία της ΓΔΟΥ την καταβολή της επιχορήγησης του εκάστοτε προμηθευτή προσκομίζοντας απόφασης δέσμευσης πίστωσης, απόφαση επιχορήγησης του Υπουργού ΠΕΝ για τον εκάστοτε προμηθευτή, κατάσταση δαπάνης και αντίγραφο του τραπεζικού λογαριασμού του δικαιούχου προμηθευτή. Το ποσό της επιχορήγησης καταβάλλεται χωρίς τη διενέργεια συμψηφισμών ή παρακρατήσεων.</w:t>
      </w:r>
    </w:p>
    <w:p>
      <w:pPr>
        <w:pStyle w:val="MainText"/>
        <w:spacing w:before="120" w:after="0"/>
        <w:rPr>
          <w:lang w:val="el" w:eastAsia="el"/>
        </w:rPr>
      </w:pPr>
      <w:r>
        <w:rPr>
          <w:b/>
          <w:bCs/>
          <w:lang w:val="el" w:eastAsia="el"/>
        </w:rPr>
        <w:t>2.</w:t>
      </w:r>
      <w:r>
        <w:rPr>
          <w:lang w:val="el" w:eastAsia="el"/>
        </w:rPr>
        <w:t xml:space="preserve"> Για τα έτη 2023, 2024, 2025 και 2026 το ύψος της χρηματοδότησης που θα καταβληθεί το έτος 2027 ανέρχεται μέχρι του ποσού των € 2.700.000. Για τα επόμενα έτη μέχρι και το έτος 2031 η χρηματοδότηση ανέρχεται μέχρι του ποσού των € 825.000 ανά έτος.</w:t>
      </w:r>
    </w:p>
    <w:p>
      <w:pPr>
        <w:pStyle w:val="MainText"/>
        <w:spacing w:before="120" w:after="0"/>
        <w:rPr>
          <w:lang w:val="el" w:eastAsia="el"/>
        </w:rPr>
      </w:pPr>
      <w:r>
        <w:rPr>
          <w:b/>
          <w:bCs/>
          <w:lang w:val="el" w:eastAsia="el"/>
        </w:rPr>
        <w:t>3.</w:t>
      </w:r>
      <w:r>
        <w:rPr>
          <w:lang w:val="el" w:eastAsia="el"/>
        </w:rPr>
        <w:t xml:space="preserve"> Οι Προμηθευτές είναι υποχρεωμένοι να υποβάλλουν στη Γενική Διεύθυνση Ενέργειας και στη Γενική Διεύθυνση Οικονομικών Υπηρεσιών του ΥΠΕΝ αναλυτική αναφορά ανά παροχή και ανά δικαιούχο, όπως τους έχει αποσταλεί από τη ΔΕΔΔΗΕ ΑΕ, καθώς και τους δικαιούχους που παραμένουν στη ρύθμιση, τα ποσά που έχουν αποπληρωθεί, τα υπόλοιπα των οφειλών, και τα οφειλόμενα ποσά της έντοκης επιβάρυνσης, μέχρι την 31η Δεκεμβρίου έκαστου έτους αρχής γενομένης το έτος 2026</w:t>
      </w:r>
    </w:p>
    <w:p>
      <w:pPr>
        <w:pStyle w:val="MainText"/>
        <w:spacing w:before="120" w:after="0"/>
        <w:rPr>
          <w:lang w:val="el" w:eastAsia="el"/>
        </w:rPr>
      </w:pPr>
      <w:r>
        <w:rPr>
          <w:b/>
          <w:bCs/>
          <w:lang w:val="el" w:eastAsia="el"/>
        </w:rPr>
        <w:t>4.</w:t>
      </w:r>
      <w:r>
        <w:rPr>
          <w:lang w:val="el" w:eastAsia="el"/>
        </w:rPr>
        <w:t xml:space="preserve"> Αρχής γενομένης από 01.01.2027, τα ποσά της έντοκης επιβάρυνσης αποδίδονται στον εκάστοτε προμηθευτή σε ετήσια βάση.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Υποχρεώσεις και Έλεγχοι στο πλαίσιο χορήγησης ενισχύσεων ήσσονος σημασίας</w:t>
      </w:r>
    </w:p>
    <w:p>
      <w:pPr>
        <w:pStyle w:val="MainText"/>
        <w:spacing w:before="120" w:after="0"/>
        <w:rPr>
          <w:lang w:val="el" w:eastAsia="el"/>
        </w:rPr>
      </w:pPr>
      <w:r>
        <w:rPr>
          <w:b/>
          <w:bCs/>
          <w:lang w:val="el" w:eastAsia="el"/>
        </w:rPr>
        <w:t>1.</w:t>
      </w:r>
      <w:r>
        <w:rPr>
          <w:lang w:val="el" w:eastAsia="el"/>
        </w:rPr>
        <w:t xml:space="preserve"> Η καταβολή από το δημόσιο της έντοκης επιβάρυνσης των οφειλών στους δικαιούχους της περίπτωσης α) της παρ. 2 του άρθρου 2 της παρούσας αποτελεί κρατική ενίσχυση, η οποία χορηγείται i) σε επιχειρήσεις που δραστηριοποιούνται στην πρωτογενή παραγωγή γεωργικών προϊόντων, σύμφωνα με τις προϋποθέσεις του Κανονισμού 2013/1408, όπως έχει τροποποιηθεί με τον Κανονισμό 2019/316 για τις ενισχύσεις ήσσονος σημασίας (de minimis), ii) σε επιχειρήσεις που δραστηριοποιούνται στους τομείς της αλιείας και της υδατοκαλλιέργειας σύμφωνα με τις προϋποθέσεις του Κανονισμού 2014/717, όπως έχει τροποποιηθεί με τον Κανονισμό 2020/2008, για τις ενισχύσεις ήσσονος σημασίας (de minimis).</w:t>
      </w:r>
    </w:p>
    <w:p>
      <w:pPr>
        <w:pStyle w:val="MainText"/>
        <w:spacing w:before="120" w:after="0"/>
        <w:rPr>
          <w:lang w:val="el" w:eastAsia="el"/>
        </w:rPr>
      </w:pPr>
      <w:r>
        <w:rPr>
          <w:b/>
          <w:bCs/>
          <w:lang w:val="el" w:eastAsia="el"/>
        </w:rPr>
        <w:t>2.</w:t>
      </w:r>
      <w:r>
        <w:rPr>
          <w:lang w:val="el" w:eastAsia="el"/>
        </w:rPr>
        <w:t xml:space="preserve"> Ειδικότερα η ενίσχυση για κάθε ενιαία επιχείρησηδικαιούχο δεν δύναται να υπερβαίνει για επιχειρήσεις της περίπτωσης i) ανωτέρω το ποσό των 20.000 € συνυπολογιζόμενων τυχόν λοιπών ενισχύσεων ήσσονος σημασίας που έχει λάβει το τρέχον και τα δύο προηγούμενα οικονομικά έτη και για επιχειρήσεις της περίπτωσης ii) ανωτέρω το ποσό των 30.000€ συνυπολογιζόμενων τυχόν λοιπών ενισχύσεων ήσσονος σημασίας που έχει λάβει το τρέχον και τα δύο προηγούμενα οικονομικά έτη. Τα σωρευτικά ποσά της ενίσχυσης ήσσονος σημασίας που χορηγούνται σε επιχειρήσεις των περ. i) και ii) ανωτέρω δεν δύναται να υπερβαίνουν τα εθνικά ανώτατα όρια που καθορίζονται στους αντίστοιχους Κανονισμούς.</w:t>
      </w:r>
    </w:p>
    <w:p>
      <w:pPr>
        <w:pStyle w:val="MainText"/>
        <w:spacing w:before="120" w:after="0"/>
        <w:rPr>
          <w:lang w:val="el" w:eastAsia="el"/>
        </w:rPr>
      </w:pPr>
      <w:r>
        <w:rPr>
          <w:b/>
          <w:bCs/>
          <w:lang w:val="el" w:eastAsia="el"/>
        </w:rPr>
        <w:t>3.</w:t>
      </w:r>
      <w:r>
        <w:rPr>
          <w:lang w:val="el" w:eastAsia="el"/>
        </w:rPr>
        <w:t xml:space="preserve"> Αρμόδιος φορέας για τον έλεγχο σώρευσης της ενίσχυσης ήσσονος σημασίας (de minimis) της παρούσας ορίζεται η ΔΕΔΔΗΕ ΑΕ η οποία υποχρεούται να θέτει στη διάθεση της Γενικής Διεύθυνσης Ενέργειας και της Γενικής Διεύθυνσης Οικονομικών Υπηρεσιών του ΥΠΕΝ τα αποτελέσματα του ελέγχου καθώς και κάθε πληροφορία σχετική με την πορεία εφαρμογής της ενίσχυσης της παρούσας.</w:t>
      </w:r>
    </w:p>
    <w:p>
      <w:pPr>
        <w:pStyle w:val="MainText"/>
        <w:spacing w:before="120" w:after="0"/>
        <w:rPr>
          <w:lang w:val="el" w:eastAsia="el"/>
        </w:rPr>
      </w:pPr>
      <w:r>
        <w:rPr>
          <w:b/>
          <w:bCs/>
          <w:lang w:val="el" w:eastAsia="el"/>
        </w:rPr>
        <w:t>4.</w:t>
      </w:r>
      <w:r>
        <w:rPr>
          <w:lang w:val="el" w:eastAsia="el"/>
        </w:rPr>
        <w:t xml:space="preserve"> Σε περίπτωση εκ των υστέρων διαπίστωσης υπέρβασης του ανώτατων ορίων της παρ. 2, συνεπεία υπέρβασης του ποσού, η ΔΕΔΔΗΕ ΑΕ ενημερώνει τις αρμόδιες υπηρεσίες του ΥΠΕΝ, οι οποίες φροντίζουν για την ανάκτηση της χορηγηθείσας ενίσχυσης, σύμφωνα με τις κείμενες διατάξεις.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 xml:space="preserve">ΣΧΕΤΙΚΑ ΜΕ ΤΗ ΣΩΡΕΥΣΗ ΤΩΝ ΕΝΙΣΧΥΣΕΩΝ ΗΣΣΟΝΟΣ ΣΗΜΑΣΙΑΣ </w:t>
      </w:r>
    </w:p>
    <w:p>
      <w:pPr>
        <w:spacing w:before="240" w:after="240"/>
        <w:rPr>
          <w:lang w:val="el" w:eastAsia="el"/>
        </w:rPr>
      </w:pPr>
      <w:r>
        <w:rPr>
          <w:b/>
          <w:bCs/>
          <w:lang w:val="el" w:eastAsia="el"/>
        </w:rPr>
        <w:t>(DEMINIMIS)</w:t>
      </w:r>
    </w:p>
    <w:p>
      <w:pPr>
        <w:spacing w:before="240" w:after="240"/>
        <w:rPr>
          <w:lang w:val="el" w:eastAsia="el"/>
        </w:rPr>
      </w:pPr>
      <w:r>
        <w:rPr>
          <w:b/>
          <w:bCs/>
          <w:lang w:val="el" w:eastAsia="el"/>
        </w:rPr>
        <w:t>ΣΤΟΝ ΓΕΩΡΓΙΚΟ ΤΟΜΕΑ ΒΑΣΕΙ ΤΟΥ ΚΑΝΟΝΙΣΜΟΥ (EE) 1408/2013</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9"/>
        <w:gridCol w:w="31"/>
        <w:gridCol w:w="286"/>
        <w:gridCol w:w="4101"/>
        <w:gridCol w:w="7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(i)</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(ii)</w:t>
            </w: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(iii)</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Η επιχείρηση………………………………………………………………………………………….</w:t>
      </w:r>
    </w:p>
    <w:p>
      <w:pPr>
        <w:spacing w:before="240" w:after="240"/>
        <w:rPr>
          <w:lang w:val="el" w:eastAsia="el"/>
        </w:rPr>
      </w:pPr>
      <w:r>
        <w:rPr>
          <w:lang w:val="el" w:eastAsia="el"/>
        </w:rPr>
        <w:t>με ΑΦΜ …..……………..……, την οποία νομίμως εκπροσωπώ:</w:t>
      </w:r>
    </w:p>
    <w:p>
      <w:pPr>
        <w:spacing w:before="240" w:after="240"/>
        <w:rPr>
          <w:lang w:val="el" w:eastAsia="el"/>
        </w:rPr>
      </w:pPr>
      <w:r>
        <w:rPr>
          <w:lang w:val="el" w:eastAsia="el"/>
        </w:rPr>
        <w:t>I. Υποβάλλει την αίτηση χορήγησης ……………………προκειμένου να λάβει κρατική ενίσχυση η οποία είναι δυνατό να υπαχθεί στο πλαίσιο του Κανονισμού de minimis στον γεωργικό τομέα 1408/2013.</w:t>
      </w:r>
    </w:p>
    <w:p>
      <w:pPr>
        <w:spacing w:before="240" w:after="240"/>
        <w:rPr>
          <w:lang w:val="el" w:eastAsia="el"/>
        </w:rPr>
      </w:pPr>
      <w:r>
        <w:rPr>
          <w:lang w:val="el" w:eastAsia="el"/>
        </w:rPr>
        <w:t>II. Δραστηριοποιείται στην πρωτογενή παραγωγή γεωργικών προϊόντων</w:t>
      </w:r>
      <w:r>
        <w:rPr>
          <w:sz w:val="30"/>
          <w:szCs w:val="30"/>
          <w:vertAlign w:val="superscript"/>
          <w:lang w:val="el" w:eastAsia="el"/>
        </w:rPr>
        <w:t>iv</w:t>
      </w:r>
      <w:r>
        <w:rPr>
          <w:lang w:val="el" w:eastAsia="el"/>
        </w:rPr>
        <w:t>.</w:t>
      </w:r>
    </w:p>
    <w:p>
      <w:pPr>
        <w:spacing w:before="240" w:after="240"/>
        <w:rPr>
          <w:lang w:val="el" w:eastAsia="el"/>
        </w:rPr>
      </w:pPr>
      <w:r>
        <w:rPr>
          <w:lang w:val="el" w:eastAsia="el"/>
        </w:rPr>
        <w:t>III. Συνιστά «ενιαία επιχείρηση»</w:t>
      </w:r>
      <w:r>
        <w:rPr>
          <w:sz w:val="30"/>
          <w:szCs w:val="30"/>
          <w:vertAlign w:val="superscript"/>
          <w:lang w:val="el" w:eastAsia="el"/>
        </w:rPr>
        <w:t>v</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vi</w:t>
      </w:r>
      <w:r>
        <w:rPr>
          <w:lang w:val="el" w:eastAsia="el"/>
        </w:rPr>
        <w:t xml:space="preserve"> στην ως άνω επιχείρηση</w:t>
      </w:r>
      <w:r>
        <w:rPr>
          <w:sz w:val="30"/>
          <w:szCs w:val="30"/>
          <w:vertAlign w:val="superscript"/>
          <w:lang w:val="el" w:eastAsia="el"/>
        </w:rPr>
        <w:t xml:space="preserve">vii, viii </w:t>
      </w:r>
      <w:r>
        <w:rPr>
          <w:lang w:val="el" w:eastAsia="el"/>
        </w:rPr>
        <w:t xml:space="preserve">βάσει της ΚΥΑ …………………………………………………… , αφορά δραστηριότητες της επιχείρησης που </w:t>
      </w:r>
      <w:r>
        <w:rPr>
          <w:b/>
          <w:bCs/>
          <w:lang w:val="el" w:eastAsia="el"/>
        </w:rPr>
        <w:t xml:space="preserve">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σε ενισχύσεις το ύψος των οποίων καθορίζεται βάσει της τιμής ή της ποσότητας των προϊόντων που διατίθενται στην αγορά,</w:t>
      </w:r>
    </w:p>
    <w:p>
      <w:pPr>
        <w:pStyle w:val="StructureList1"/>
        <w:spacing w:before="120" w:after="0"/>
        <w:rPr>
          <w:lang w:val="el" w:eastAsia="el"/>
        </w:rPr>
      </w:pPr>
      <w:r>
        <w:rPr>
          <w:lang w:val="el" w:eastAsia="el"/>
        </w:rPr>
        <w:t>ii)</w:t>
      </w:r>
      <w:r>
        <w:rPr>
          <w:lang w:val="en" w:eastAsia="en"/>
        </w:rPr>
        <w:tab/>
      </w:r>
      <w:r>
        <w:rPr>
          <w:lang w:val="el" w:eastAsia="el"/>
        </w:rPr>
        <w:t>σε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iii)</w:t>
      </w:r>
      <w:r>
        <w:rPr>
          <w:lang w:val="en" w:eastAsia="en"/>
        </w:rPr>
        <w:tab/>
      </w:r>
      <w:r>
        <w:rPr>
          <w:lang w:val="el" w:eastAsia="el"/>
        </w:rPr>
        <w:t>σε ενισχύσεις που χορηγούνται υπό τον όρο της χρησιμοποίησης εγχώριων προϊόντων αντί των εισαγομένων.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2831/2023)</w:t>
      </w:r>
    </w:p>
    <w:p>
      <w:pPr>
        <w:spacing w:before="240" w:after="240"/>
        <w:rPr>
          <w:lang w:val="el" w:eastAsia="el"/>
        </w:rPr>
      </w:pPr>
      <w:r>
        <w:rPr>
          <w:lang w:val="el" w:eastAsia="el"/>
        </w:rPr>
        <w:t>Η επιχείρηση, καθώς δραστηριοποιείται στον τομέα (στους τομείς)………………………. στον οποίο (στους οποίους) εφαρμόζεται ο Κανονισμός (ΕΕ) 2831/2023,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lang w:val="el" w:eastAsia="el"/>
        </w:rPr>
        <w:t xml:space="preserve">Δ. </w:t>
      </w:r>
      <w:r>
        <w:rPr>
          <w:i/>
          <w:iCs/>
          <w:lang w:val="el" w:eastAsia="el"/>
        </w:rPr>
        <w:t>(Σε περίπτωση που η επιχείρηση δραστηριοποιείται στην πρωτογενή παραγωγή γεωργικών προϊόντων και επίσης στην πρωτογενή παραγωγή προϊόντων αλιείας και υδατοκαλλιέργειας που εμπίπτει στο πεδίο εφαρμογής του Κανονισμού (ΕΕ) αριθμ.717/2014)</w:t>
      </w:r>
    </w:p>
    <w:p>
      <w:pPr>
        <w:spacing w:before="240" w:after="240"/>
        <w:rPr>
          <w:lang w:val="el" w:eastAsia="el"/>
        </w:rPr>
      </w:pPr>
      <w:r>
        <w:rPr>
          <w:lang w:val="el" w:eastAsia="el"/>
        </w:rPr>
        <w:t>Η επιχείρηση, καθώς δραστηριοποιείται στην πρωτογενή παραγωγή προϊόντων αλιείας και υδατοκαλλιέργειας στην οποία εφαρμόζεται ο Κανονισμός (ΕΕ) 717/2014,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lang w:val="el" w:eastAsia="el"/>
        </w:rPr>
        <w:t xml:space="preserve">Ε. </w:t>
      </w:r>
      <w:r>
        <w:rPr>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w:t>
            </w:r>
          </w:p>
          <w:p>
            <w:pPr>
              <w:spacing w:before="240"/>
              <w:rPr>
                <w:b w:val="0"/>
                <w:bCs w:val="0"/>
                <w:i w:val="0"/>
                <w:iCs w:val="0"/>
                <w:smallCaps w:val="0"/>
                <w:color w:val="000000"/>
                <w:lang w:val="el" w:eastAsia="el"/>
              </w:rPr>
            </w:pP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bCs/>
                <w:i w:val="0"/>
                <w:iCs w:val="0"/>
                <w:smallCaps w:val="0"/>
                <w:color w:val="000000"/>
                <w:sz w:val="30"/>
                <w:szCs w:val="30"/>
                <w:vertAlign w:val="superscript"/>
                <w:lang w:val="el" w:eastAsia="el"/>
              </w:rPr>
              <w:t>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r>
              <w:rPr>
                <w:b/>
                <w:bCs/>
                <w:i w:val="0"/>
                <w:iCs w:val="0"/>
                <w:smallCaps w:val="0"/>
                <w:color w:val="000000"/>
                <w:sz w:val="30"/>
                <w:szCs w:val="30"/>
                <w:vertAlign w:val="superscript"/>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&amp; ΑΦΜ</w:t>
            </w:r>
          </w:p>
          <w:p>
            <w:pPr>
              <w:spacing w:before="240"/>
              <w:rPr>
                <w:b w:val="0"/>
                <w:bCs w:val="0"/>
                <w:i w:val="0"/>
                <w:iCs w:val="0"/>
                <w:smallCaps w:val="0"/>
                <w:color w:val="000000"/>
                <w:lang w:val="el" w:eastAsia="el"/>
              </w:rPr>
            </w:pPr>
            <w:r>
              <w:rPr>
                <w:b/>
                <w:bCs/>
                <w:i w:val="0"/>
                <w:iCs w:val="0"/>
                <w:smallCaps w:val="0"/>
                <w:color w:val="000000"/>
                <w:lang w:val="el" w:eastAsia="el"/>
              </w:rPr>
              <w:t>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r>
    </w:tbl>
    <w:p>
      <w:pPr>
        <w:spacing w:before="240" w:after="240"/>
        <w:rPr>
          <w:lang w:val="el" w:eastAsia="el"/>
        </w:rPr>
      </w:pPr>
      <w:r>
        <w:rPr>
          <w:b/>
          <w:bCs/>
          <w:lang w:val="el" w:eastAsia="el"/>
        </w:rPr>
        <w:t>ΣΤ.</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κατά το τρέχον οικονομικό έτος και τα δύο προηγούμενα οικονομικά έτη, δεν υπερβαίνει το ποσό των 20.000 ευρώ.</w:t>
      </w:r>
    </w:p>
    <w:p>
      <w:pPr>
        <w:spacing w:before="240" w:after="240"/>
        <w:rPr>
          <w:lang w:val="el" w:eastAsia="el"/>
        </w:rPr>
      </w:pPr>
      <w:r>
        <w:rPr>
          <w:b/>
          <w:bCs/>
          <w:lang w:val="el" w:eastAsia="el"/>
        </w:rPr>
        <w:t xml:space="preserve">Ζ.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2831/2023)</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βάσει του Κανονισμού (ΕΕ) αριθ. 2831/2023, κατά το τρέχον οικονομικό έτος και τα δύο προηγούμενα οικονομικά έτη, δεν υπερβαίνει το ποσό των 300.000 ευρώ.</w:t>
      </w:r>
    </w:p>
    <w:p>
      <w:pPr>
        <w:spacing w:before="240" w:after="240"/>
        <w:rPr>
          <w:lang w:val="el" w:eastAsia="el"/>
        </w:rPr>
      </w:pPr>
      <w:r>
        <w:rPr>
          <w:b/>
          <w:bCs/>
          <w:lang w:val="el" w:eastAsia="el"/>
        </w:rPr>
        <w:t xml:space="preserve">Η. </w:t>
      </w:r>
      <w:r>
        <w:rPr>
          <w:i/>
          <w:iCs/>
          <w:lang w:val="el" w:eastAsia="el"/>
        </w:rPr>
        <w:t>(Σε περίπτωση που η επιχείρηση δραστηριοποιείται στην πρωτογενή παραγωγή γεωργικών προϊόντων και επίσης στην πρωτογενή παραγωγή προϊόντων αλιείας και υδατοκαλλιέργειας που εμπίπτει στο πεδίο εφαρμογής του Κανονισμού (ΕΕ) αριθμ.717/2014)</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για την πρωτογενή παραγωγή προϊόντων αλιείας και υδατοκαλλιέργειας βάσει του Κανονισμού (ΕΕ) αριθ. 717/2014, κατά το τρέχον οικονομικό έτος και τα δύο προηγούμενα οικονομικά έτη, δεν υπερβαίνει το ποσό των 30.000 ευρώ.</w:t>
      </w:r>
    </w:p>
    <w:p>
      <w:pPr>
        <w:spacing w:before="240" w:after="240"/>
        <w:rPr>
          <w:lang w:val="el" w:eastAsia="el"/>
        </w:rPr>
      </w:pPr>
      <w:r>
        <w:rPr>
          <w:b/>
          <w:bCs/>
          <w:lang w:val="el" w:eastAsia="el"/>
        </w:rPr>
        <w:t xml:space="preserve">Θ. </w:t>
      </w:r>
      <w:r>
        <w:rPr>
          <w:lang w:val="el" w:eastAsia="el"/>
        </w:rPr>
        <w:t>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Ι.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ΙΑ. Με την υποβολή της παρούσας παρέχω σύμφωνα με τις διατάξεις των άρθρων 7&amp;9 του Γενικού Κανονισμού Προσωπικών Δεδομένων ΕΕ/679/2016 και την ισχύουσα νομοθεσία τη ρητή συγκατάθεσή μου στο ….. και αποδέχομαι τη συλλογή, επεξεργασία και αποθήκευση των προσωπικών μου δεδομένων για λόγους δημοσίου συμφέροντος.</w:t>
      </w:r>
    </w:p>
    <w:p>
      <w:pPr>
        <w:spacing w:before="240" w:after="240"/>
        <w:rPr>
          <w:lang w:val="el" w:eastAsia="el"/>
        </w:rPr>
      </w:pPr>
      <w:r>
        <w:rPr>
          <w:lang w:val="el" w:eastAsia="el"/>
        </w:rPr>
        <w:t>ΙΒ. Τα αναφερόμενα στην παρούσα μου αίτηση στοιχεία είναι πλήρη και ακριβή και μπορούν να χρησιμοποιηθούν από το ….. και…. για τη δημιουργία μηχανογραφικού αρχείου. Για το λόγο αυτό παρέχω ανεπιφύλακτα άδεια και εξουσιοδότηση στο …. Και…. και Προμηθευτή να κάνουν χρήση των ως άνω δεδομένων.</w:t>
      </w:r>
    </w:p>
    <w:p>
      <w:pPr>
        <w:spacing w:before="240" w:after="240"/>
        <w:rPr>
          <w:lang w:val="el" w:eastAsia="el"/>
        </w:rPr>
      </w:pPr>
      <w:r>
        <w:rPr>
          <w:lang w:val="el" w:eastAsia="el"/>
        </w:rPr>
        <w:t>ΙΓ. Είμαι σύμφωνος/η με τον οποιοδήποτε τρόπο διαχείρισης, φύλαξης και γενικότερης χρήσης, τόσο του παρόντος εγγράφου της αίτησης κρατικής ενίσχυσης όσο και των ηλεκτρονικών αρχείων που θα δημιουργηθούν και θα εμπεριέχουν τα προαναφερόμενα ατομικά και λοιπά δεδομένα, που με αφορούν και ότι αποδέχομαι ανεπιφύλακτα την όποια σχετική συμφωνία μεταξύ του ………….. Και ………….. και …… , και των άλλων εμπλεκομένων και συμπραττόντων και ίδιως του …….…., παραιτούμενος/η συγχρόνως από την υποβολή</w:t>
      </w:r>
    </w:p>
    <w:p>
      <w:pPr>
        <w:spacing w:before="240" w:after="240"/>
        <w:rPr>
          <w:lang w:val="el" w:eastAsia="el"/>
        </w:rPr>
      </w:pPr>
      <w:r>
        <w:rPr>
          <w:lang w:val="el" w:eastAsia="el"/>
        </w:rPr>
        <w:t>οποιασδήποτε ένστασης ή αντίρρησης για τη διαχείριση, φύλαξη και γενικότερη χρήση των ως άνω σε φυσική ή ηλεκτρονική μορφή αρχείων και εγγράφων.</w:t>
      </w:r>
    </w:p>
    <w:p>
      <w:pPr>
        <w:spacing w:before="240" w:after="240"/>
        <w:rPr>
          <w:lang w:val="el" w:eastAsia="el"/>
        </w:rPr>
      </w:pPr>
      <w:r>
        <w:rPr>
          <w:lang w:val="el" w:eastAsia="el"/>
        </w:rPr>
        <w:t>Ημερομηνία:</w:t>
      </w:r>
    </w:p>
    <w:p>
      <w:pPr>
        <w:spacing w:before="240" w:after="240"/>
        <w:rPr>
          <w:lang w:val="el" w:eastAsia="el"/>
        </w:rPr>
      </w:pPr>
      <w:r>
        <w:rPr>
          <w:lang w:val="el" w:eastAsia="el"/>
        </w:rPr>
        <w:t>…/……/…</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sz w:val="30"/>
          <w:szCs w:val="30"/>
          <w:vertAlign w:val="superscript"/>
          <w:lang w:val="el" w:eastAsia="el"/>
        </w:rPr>
        <w:t>i</w:t>
      </w:r>
      <w:r>
        <w:rPr>
          <w:lang w:val="el" w:eastAsia="el"/>
        </w:rPr>
        <w:t xml:space="preserve">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sz w:val="30"/>
          <w:szCs w:val="30"/>
          <w:vertAlign w:val="superscript"/>
          <w:lang w:val="el" w:eastAsia="el"/>
        </w:rPr>
        <w:t>ii</w:t>
      </w:r>
      <w:r>
        <w:rPr>
          <w:lang w:val="el" w:eastAsia="el"/>
        </w:rPr>
        <w:t xml:space="preserve"> Αναγράφεται ολογράφως.</w:t>
      </w:r>
    </w:p>
    <w:p>
      <w:pPr>
        <w:spacing w:before="240" w:after="240"/>
        <w:rPr>
          <w:lang w:val="el" w:eastAsia="el"/>
        </w:rPr>
      </w:pPr>
      <w:r>
        <w:rPr>
          <w:sz w:val="30"/>
          <w:szCs w:val="30"/>
          <w:vertAlign w:val="superscript"/>
          <w:lang w:val="el" w:eastAsia="el"/>
        </w:rPr>
        <w:t>iii</w:t>
      </w:r>
      <w:r>
        <w:rPr>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iv</w:t>
      </w:r>
      <w:r>
        <w:rPr>
          <w:lang w:val="el" w:eastAsia="el"/>
        </w:rPr>
        <w:t xml:space="preserve"> Νοούνται ως «γεωργικά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 του Συμβουλίου.</w:t>
      </w:r>
    </w:p>
    <w:p>
      <w:pPr>
        <w:spacing w:before="240" w:after="240"/>
        <w:rPr>
          <w:lang w:val="el" w:eastAsia="el"/>
        </w:rPr>
      </w:pPr>
      <w:r>
        <w:rPr>
          <w:sz w:val="30"/>
          <w:szCs w:val="30"/>
          <w:vertAlign w:val="superscript"/>
          <w:lang w:val="el" w:eastAsia="el"/>
        </w:rPr>
        <w:t>v</w:t>
      </w:r>
      <w:r>
        <w:rPr>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ως επίσης ενιαία επιχείρηση.</w:t>
      </w:r>
    </w:p>
    <w:p>
      <w:pPr>
        <w:spacing w:before="240" w:after="240"/>
        <w:rPr>
          <w:lang w:val="el" w:eastAsia="el"/>
        </w:rPr>
      </w:pPr>
      <w:r>
        <w:rPr>
          <w:sz w:val="30"/>
          <w:szCs w:val="30"/>
          <w:vertAlign w:val="superscript"/>
          <w:lang w:val="el" w:eastAsia="el"/>
        </w:rPr>
        <w:t>vi</w:t>
      </w:r>
      <w:r>
        <w:rPr>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sz w:val="30"/>
          <w:szCs w:val="30"/>
          <w:vertAlign w:val="superscript"/>
          <w:lang w:val="el" w:eastAsia="el"/>
        </w:rPr>
        <w:t>vii</w:t>
      </w:r>
      <w:r>
        <w:rPr>
          <w:lang w:val="el" w:eastAsia="el"/>
        </w:rPr>
        <w:t xml:space="preserve"> Σε περίπτωση συγχωνεύσεων ή εξαγορών, όλες οι προηγούμενες ενισχύσεις ήσσονος σημασίας που έχουν χορηγηθεί σε οποιαδήποτε από τις συγχωνευόμενες επιχειρήσεις λαμβάνονται υπόψη για να προσδιοριστεί κατά πόσον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sz w:val="30"/>
          <w:szCs w:val="30"/>
          <w:vertAlign w:val="superscript"/>
          <w:lang w:val="el" w:eastAsia="el"/>
        </w:rPr>
        <w:t>viii</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ημερομηνία έναρξης ισχύος της διάσπασης.</w:t>
      </w:r>
    </w:p>
    <w:p>
      <w:pPr>
        <w:spacing w:before="240" w:after="240"/>
        <w:rPr>
          <w:lang w:val="el" w:eastAsia="el"/>
        </w:rPr>
      </w:pPr>
      <w:r>
        <w:rPr>
          <w:sz w:val="30"/>
          <w:szCs w:val="30"/>
          <w:vertAlign w:val="superscript"/>
          <w:lang w:val="el" w:eastAsia="el"/>
        </w:rPr>
        <w:t>ix</w:t>
      </w:r>
      <w:r>
        <w:rPr>
          <w:lang w:val="el" w:eastAsia="el"/>
        </w:rPr>
        <w:t xml:space="preserve">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 xml:space="preserve">ΣΧΕΤΙΚΑ ΜΕ ΤΗ ΣΩΡΕΥΣΗ ΤΩΝ ΕΝΙΣΧΥΣΕΩΝ ΗΣΣΟΝΟΣ ΣΗΜΑΣΙΑΣ </w:t>
      </w:r>
    </w:p>
    <w:p>
      <w:pPr>
        <w:spacing w:before="240" w:after="240"/>
        <w:rPr>
          <w:lang w:val="el" w:eastAsia="el"/>
        </w:rPr>
      </w:pPr>
      <w:r>
        <w:rPr>
          <w:b/>
          <w:bCs/>
          <w:lang w:val="el" w:eastAsia="el"/>
        </w:rPr>
        <w:t>(DEMINIMIS)</w:t>
      </w:r>
    </w:p>
    <w:p>
      <w:pPr>
        <w:spacing w:before="240" w:after="240"/>
        <w:rPr>
          <w:lang w:val="el" w:eastAsia="el"/>
        </w:rPr>
      </w:pPr>
      <w:r>
        <w:rPr>
          <w:b/>
          <w:bCs/>
          <w:lang w:val="el" w:eastAsia="el"/>
        </w:rPr>
        <w:t>ΣΤΗΝ ΠΡΩΤΟΓΕΝΗ ΠΑΡΑΓΩΓΗ ΠΡΟΪΟΝΤΩΝ ΑΛΙΕΙΑΣ ΚΑΙΥΔΑΤΟΚΑΛΛΙΕΡΓΕΙΑΣ</w:t>
      </w:r>
    </w:p>
    <w:p>
      <w:pPr>
        <w:spacing w:before="240" w:after="240"/>
        <w:rPr>
          <w:lang w:val="el" w:eastAsia="el"/>
        </w:rPr>
      </w:pPr>
      <w:r>
        <w:rPr>
          <w:b/>
          <w:bCs/>
          <w:lang w:val="el" w:eastAsia="el"/>
        </w:rPr>
        <w:t>ΒΑΣΕΙ ΤΟΥ ΚΑΝΟΝΙΣΜΟΥ (EE) 717/2014</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xii</w:t>
      </w:r>
      <w:r>
        <w:rPr>
          <w:lang w:val="el" w:eastAsia="el"/>
        </w:rPr>
        <w:t>, που προβλέπονται από τις διατάξεις της παρ. 6 του άρθρου 22 του Ν. 1599/1986, δηλώνω ότι</w:t>
      </w:r>
      <w:r>
        <w:rPr>
          <w:sz w:val="30"/>
          <w:szCs w:val="30"/>
          <w:vertAlign w:val="superscript"/>
          <w:lang w:val="el" w:eastAsia="el"/>
        </w:rPr>
        <w:t>xiii</w:t>
      </w:r>
      <w:r>
        <w:rPr>
          <w:lang w:val="el" w:eastAsia="el"/>
        </w:rPr>
        <w:t>:</w:t>
      </w:r>
    </w:p>
    <w:p>
      <w:pPr>
        <w:spacing w:before="240" w:after="240"/>
        <w:rPr>
          <w:lang w:val="el" w:eastAsia="el"/>
        </w:rPr>
      </w:pPr>
      <w:r>
        <w:rPr>
          <w:b/>
          <w:bCs/>
          <w:lang w:val="el" w:eastAsia="el"/>
        </w:rPr>
        <w:t xml:space="preserve">Α. </w:t>
      </w:r>
      <w:r>
        <w:rPr>
          <w:lang w:val="el" w:eastAsia="el"/>
        </w:rPr>
        <w:t>Η επιχείρηση …………………………………….………………….………………………… ………...……………………………………………………………… με ΑΦΜ …..……………..……, την οποία νομίμως εκπροσωπώ:</w:t>
      </w:r>
    </w:p>
    <w:p>
      <w:pPr>
        <w:spacing w:before="240" w:after="240"/>
        <w:rPr>
          <w:lang w:val="el" w:eastAsia="el"/>
        </w:rPr>
      </w:pPr>
      <w:r>
        <w:rPr>
          <w:lang w:val="el" w:eastAsia="el"/>
        </w:rPr>
        <w:t>I. Υποβάλλει την αίτηση χορήγησης ……………………προκειμένου να λάβει κρατική ενίσχυση η οποία είναι δυνατό να υπαχθεί στο πλαίσιο του Κανονισμού de minimis στην πρωτογενή παραγωγή προϊόντων αλιείας και υδατοκαλλιέργειας 717/2014.</w:t>
      </w:r>
    </w:p>
    <w:p>
      <w:pPr>
        <w:spacing w:before="240" w:after="240"/>
        <w:rPr>
          <w:lang w:val="el" w:eastAsia="el"/>
        </w:rPr>
      </w:pPr>
      <w:r>
        <w:rPr>
          <w:lang w:val="el" w:eastAsia="el"/>
        </w:rPr>
        <w:t>II. Δραστηριοποιείται στην πρωτογενή παραγωγή προϊόντων αλιείας και υδατοκαλλιέργειας</w:t>
      </w:r>
      <w:r>
        <w:rPr>
          <w:sz w:val="30"/>
          <w:szCs w:val="30"/>
          <w:vertAlign w:val="superscript"/>
          <w:lang w:val="el" w:eastAsia="el"/>
        </w:rPr>
        <w:t>xiv</w:t>
      </w:r>
      <w:r>
        <w:rPr>
          <w:lang w:val="el" w:eastAsia="el"/>
        </w:rPr>
        <w:t>.</w:t>
      </w:r>
    </w:p>
    <w:p>
      <w:pPr>
        <w:spacing w:before="240" w:after="240"/>
        <w:rPr>
          <w:lang w:val="el" w:eastAsia="el"/>
        </w:rPr>
      </w:pPr>
      <w:r>
        <w:rPr>
          <w:lang w:val="el" w:eastAsia="el"/>
        </w:rPr>
        <w:t>III. Συνιστά «ενιαία επιχείρηση»</w:t>
      </w:r>
      <w:r>
        <w:rPr>
          <w:sz w:val="30"/>
          <w:szCs w:val="30"/>
          <w:vertAlign w:val="superscript"/>
          <w:lang w:val="el" w:eastAsia="el"/>
        </w:rPr>
        <w:t>xv</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xvi</w:t>
      </w:r>
      <w:r>
        <w:rPr>
          <w:lang w:val="el" w:eastAsia="el"/>
        </w:rPr>
        <w:t xml:space="preserve"> στην ως άνω επιχείρηση</w:t>
      </w:r>
      <w:r>
        <w:rPr>
          <w:sz w:val="30"/>
          <w:szCs w:val="30"/>
          <w:vertAlign w:val="superscript"/>
          <w:lang w:val="el" w:eastAsia="el"/>
        </w:rPr>
        <w:t>xvii,xviii</w:t>
      </w:r>
      <w:r>
        <w:rPr>
          <w:lang w:val="el" w:eastAsia="el"/>
        </w:rPr>
        <w:t xml:space="preserve"> βάσει της ΚΥΑ …………………………………………………… , αφορά δραστηριότητες της επιχείρησης που </w:t>
      </w:r>
      <w:r>
        <w:rPr>
          <w:b/>
          <w:bCs/>
          <w:lang w:val="el" w:eastAsia="el"/>
        </w:rPr>
        <w:t xml:space="preserve">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σε ενισχύσεις το ύψος των οποίων καθορίζεται βάσει της τιμής ή της ποσότητας των προϊόντων που αγοράζονται ή διατίθενται στην αγορά,</w:t>
      </w:r>
    </w:p>
    <w:p>
      <w:pPr>
        <w:pStyle w:val="StructureList1"/>
        <w:spacing w:before="120" w:after="0"/>
        <w:rPr>
          <w:lang w:val="el" w:eastAsia="el"/>
        </w:rPr>
      </w:pPr>
      <w:r>
        <w:rPr>
          <w:lang w:val="el" w:eastAsia="el"/>
        </w:rPr>
        <w:t>ii)</w:t>
      </w:r>
      <w:r>
        <w:rPr>
          <w:lang w:val="en" w:eastAsia="en"/>
        </w:rPr>
        <w:tab/>
      </w:r>
      <w:r>
        <w:rPr>
          <w:lang w:val="el" w:eastAsia="el"/>
        </w:rPr>
        <w:t>σε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iii)</w:t>
      </w:r>
      <w:r>
        <w:rPr>
          <w:lang w:val="en" w:eastAsia="en"/>
        </w:rPr>
        <w:tab/>
      </w:r>
      <w:r>
        <w:rPr>
          <w:lang w:val="el" w:eastAsia="el"/>
        </w:rPr>
        <w:t>σε ενισχύσεις που εξαρτώνται από τη χρήση εγχώριων προϊόντων έναντι εισαγόμενων, iv) σε ενισχύσεις για την αγορά αλιευτικών σκαφών,</w:t>
      </w:r>
    </w:p>
    <w:p>
      <w:pPr>
        <w:pStyle w:val="StructureList1"/>
        <w:spacing w:before="120" w:after="0"/>
        <w:rPr>
          <w:lang w:val="el" w:eastAsia="el"/>
        </w:rPr>
      </w:pPr>
      <w:r>
        <w:rPr>
          <w:lang w:val="el" w:eastAsia="el"/>
        </w:rPr>
        <w:t>v)</w:t>
      </w:r>
      <w:r>
        <w:rPr>
          <w:lang w:val="en" w:eastAsia="en"/>
        </w:rPr>
        <w:tab/>
      </w:r>
      <w:r>
        <w:rPr>
          <w:lang w:val="el" w:eastAsia="el"/>
        </w:rPr>
        <w:t>σε ενισχύσεις για τον εκσυγχρονισμό ή την αντικατάσταση των κύριων ή βοηθητικών μηχανών αλιευτικών σκαφών,</w:t>
      </w:r>
    </w:p>
    <w:p>
      <w:pPr>
        <w:pStyle w:val="StructureList1"/>
        <w:spacing w:before="120" w:after="0"/>
        <w:rPr>
          <w:lang w:val="el" w:eastAsia="el"/>
        </w:rPr>
      </w:pPr>
      <w:r>
        <w:rPr>
          <w:lang w:val="el" w:eastAsia="el"/>
        </w:rPr>
        <w:t>vi)</w:t>
      </w:r>
      <w:r>
        <w:rPr>
          <w:lang w:val="en" w:eastAsia="en"/>
        </w:rPr>
        <w:tab/>
      </w:r>
      <w:r>
        <w:rPr>
          <w:lang w:val="el" w:eastAsia="el"/>
        </w:rPr>
        <w:t>σε ενισχύσεις για εργασίες που αυξάνουν την αλιευτική ικανότητα ενός αλιευτικού σκάφους ή αφορούν εξοπλισμό για την αύξηση της ικανότητας ενός αλιευτικού σκάφους να εντοπίζει αλιεύματα,</w:t>
      </w:r>
    </w:p>
    <w:p>
      <w:pPr>
        <w:pStyle w:val="StructureList1"/>
        <w:spacing w:before="120" w:after="0"/>
        <w:rPr>
          <w:lang w:val="el" w:eastAsia="el"/>
        </w:rPr>
      </w:pPr>
      <w:r>
        <w:rPr>
          <w:lang w:val="el" w:eastAsia="el"/>
        </w:rPr>
        <w:t>vii)</w:t>
      </w:r>
      <w:r>
        <w:rPr>
          <w:lang w:val="en" w:eastAsia="en"/>
        </w:rPr>
        <w:tab/>
      </w:r>
      <w:r>
        <w:rPr>
          <w:lang w:val="el" w:eastAsia="el"/>
        </w:rPr>
        <w:t>σε ενισχύσεις για ναυπήγηση νέων αλιευτικών σκαφών ή εισαγωγή αλιευτικών σκαφών, viii) σε ενισχύσεις για την προσωρινή ή οριστική παύση των αλιευτικών δραστηριοτήτων, με εξαίρεση τις ενισχύσεις που πληρούν τους όρους των άρθρων 20 και 21 του κανονισμού (ΕΕ) 2021/1139 του Ευρωπαϊκού Κοινοβουλίου και του Συμβουλίου,</w:t>
      </w:r>
    </w:p>
    <w:p>
      <w:pPr>
        <w:pStyle w:val="StructureList1"/>
        <w:spacing w:before="120" w:after="0"/>
        <w:rPr>
          <w:lang w:val="el" w:eastAsia="el"/>
        </w:rPr>
      </w:pPr>
      <w:r>
        <w:rPr>
          <w:lang w:val="el" w:eastAsia="el"/>
        </w:rPr>
        <w:t>ix)</w:t>
      </w:r>
      <w:r>
        <w:rPr>
          <w:lang w:val="en" w:eastAsia="en"/>
        </w:rPr>
        <w:tab/>
      </w:r>
      <w:r>
        <w:rPr>
          <w:lang w:val="el" w:eastAsia="el"/>
        </w:rPr>
        <w:t>σε ενισχύσεις για την πειραματική αλιεία,</w:t>
      </w:r>
    </w:p>
    <w:p>
      <w:pPr>
        <w:pStyle w:val="StructureList1"/>
        <w:spacing w:before="120" w:after="0"/>
        <w:rPr>
          <w:lang w:val="el" w:eastAsia="el"/>
        </w:rPr>
      </w:pPr>
      <w:r>
        <w:rPr>
          <w:lang w:val="el" w:eastAsia="el"/>
        </w:rPr>
        <w:t>x)</w:t>
      </w:r>
      <w:r>
        <w:rPr>
          <w:lang w:val="en" w:eastAsia="en"/>
        </w:rPr>
        <w:tab/>
      </w:r>
      <w:r>
        <w:rPr>
          <w:lang w:val="el" w:eastAsia="el"/>
        </w:rPr>
        <w:t>σε ενισχύσεις για τη μεταβίβαση της κυριότητας μιας επιχείρησης,</w:t>
      </w:r>
    </w:p>
    <w:p>
      <w:pPr>
        <w:pStyle w:val="StructureList1"/>
        <w:spacing w:before="120" w:after="0"/>
        <w:rPr>
          <w:lang w:val="el" w:eastAsia="el"/>
        </w:rPr>
      </w:pPr>
      <w:r>
        <w:rPr>
          <w:lang w:val="el" w:eastAsia="el"/>
        </w:rPr>
        <w:t>xi)</w:t>
      </w:r>
      <w:r>
        <w:rPr>
          <w:lang w:val="en" w:eastAsia="en"/>
        </w:rPr>
        <w:tab/>
      </w:r>
      <w:r>
        <w:rPr>
          <w:lang w:val="el" w:eastAsia="el"/>
        </w:rPr>
        <w:t>σε ενισχύσεις για άμεσο εμπλουτισμό των αποθεμάτων, εκτός εάν προβλέπεται ρητά ως μέτρο διατήρησης από νομοθετική πράξη της Ένωσης ή πρόκειται για την περίπτωση του πειραματικού εμπλουτισμού αποθεμάτων.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στην πρωτογενή παραγωγή προϊόντων αλιείας και υδατοκαλλιέργειας και δραστηριοποιείται επίσης σε έναν ή περισσότερους από τους τομείς ή έχει άλλες δραστηριότητες που εμπίπτουν στο πεδίο εφαρμογής του κανονισμού (ΕΕ) αριθ. 2831/2023 της Επιτροπής2831/2023)</w:t>
      </w:r>
    </w:p>
    <w:p>
      <w:pPr>
        <w:spacing w:before="240" w:after="240"/>
        <w:rPr>
          <w:lang w:val="el" w:eastAsia="el"/>
        </w:rPr>
      </w:pPr>
      <w:r>
        <w:rPr>
          <w:lang w:val="el" w:eastAsia="el"/>
        </w:rPr>
        <w:t>Η επιχείρηση, καθώς δραστηριοποιείται στον τομέα (στους τομείς)………………………. στον οποίο (στους οποίους) εφαρμόζεται ο Κανονισμός (ΕΕ) 2831/2023, διασφαλίζει με κατάλληλα μέσα, όπως ο διαχωρισμός των δραστηριοτήτων ή η διάκριση των στοιχείων κόστους, ότι η πρωτογενής παραγωγή προϊόντων αλιείας και υδατοκαλλιέργειας δεν επωφελείται από τις ενισχύσεις ήσσονος σημασίας που χορηγούνται σύμφωνα με τον εν λόγω κανονισμό.</w:t>
      </w:r>
    </w:p>
    <w:p>
      <w:pPr>
        <w:spacing w:before="240" w:after="240"/>
        <w:rPr>
          <w:lang w:val="el" w:eastAsia="el"/>
        </w:rPr>
      </w:pPr>
      <w:r>
        <w:rPr>
          <w:b/>
          <w:bCs/>
          <w:lang w:val="el" w:eastAsia="el"/>
        </w:rPr>
        <w:t xml:space="preserve">Δ. </w:t>
      </w:r>
      <w:r>
        <w:rPr>
          <w:i/>
          <w:iCs/>
          <w:lang w:val="el" w:eastAsia="el"/>
        </w:rPr>
        <w:t xml:space="preserve">(Σε περίπτωση που η επιχείρηση δραστηριοποιείται στην πρωτογενή παραγωγή προϊόντων αλιείας και υδατοκαλλιέργειας καθώς και στην πρωτογενή παραγωγή γεωργικών προϊόντων που εμπίπτουν στο πεδίο εφαρμογής του κανονισμού (ΕΕ) αριθ. 1408/2013 της Επιτροπής) </w:t>
      </w:r>
      <w:r>
        <w:rPr>
          <w:lang w:val="el" w:eastAsia="el"/>
        </w:rPr>
        <w:t>Η επιχείρηση, καθώς δραστηριοποιείται στον τομέα της πρωτογενούς παραγωγής γεωργικών προϊόντων στον οποίο εφαρμόζεται ο Κανονισμός (ΕΕ) 1408/2013, διασφαλίζει με κατάλληλα μέσα, όπως ο διαχωρισμός των δραστηριοτήτων ή η διάκριση των στοιχείων κόστους, ότι η πρωτογενής παραγωγή γεωργικών προϊόντων δεν επωφελείται από ενισχύσεις ήσσονος σημασίας που χορηγούνται σύμφωνα με τον κανονισμό 717/2014.</w:t>
      </w:r>
    </w:p>
    <w:p>
      <w:pPr>
        <w:spacing w:before="240" w:after="240"/>
        <w:rPr>
          <w:lang w:val="el" w:eastAsia="el"/>
        </w:rPr>
      </w:pPr>
      <w:r>
        <w:rPr>
          <w:b/>
          <w:bCs/>
          <w:lang w:val="el" w:eastAsia="el"/>
        </w:rPr>
        <w:t xml:space="preserve">Ε. </w:t>
      </w:r>
      <w:r>
        <w:rPr>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w:t>
            </w:r>
          </w:p>
          <w:p>
            <w:pPr>
              <w:spacing w:before="240"/>
              <w:rPr>
                <w:b w:val="0"/>
                <w:bCs w:val="0"/>
                <w:i w:val="0"/>
                <w:iCs w:val="0"/>
                <w:smallCaps w:val="0"/>
                <w:color w:val="000000"/>
                <w:lang w:val="el" w:eastAsia="el"/>
              </w:rPr>
            </w:pP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bCs/>
                <w:i w:val="0"/>
                <w:iCs w:val="0"/>
                <w:smallCaps w:val="0"/>
                <w:color w:val="000000"/>
                <w:sz w:val="30"/>
                <w:szCs w:val="30"/>
                <w:vertAlign w:val="superscript"/>
                <w:lang w:val="el" w:eastAsia="el"/>
              </w:rPr>
              <w:t>xix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r>
              <w:rPr>
                <w:b/>
                <w:bCs/>
                <w:i w:val="0"/>
                <w:iCs w:val="0"/>
                <w:smallCaps w:val="0"/>
                <w:color w:val="000000"/>
                <w:sz w:val="30"/>
                <w:szCs w:val="30"/>
                <w:vertAlign w:val="superscript"/>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&amp; ΑΦΜ</w:t>
            </w:r>
          </w:p>
          <w:p>
            <w:pPr>
              <w:spacing w:before="240"/>
              <w:rPr>
                <w:b w:val="0"/>
                <w:bCs w:val="0"/>
                <w:i w:val="0"/>
                <w:iCs w:val="0"/>
                <w:smallCaps w:val="0"/>
                <w:color w:val="000000"/>
                <w:lang w:val="el" w:eastAsia="el"/>
              </w:rPr>
            </w:pPr>
            <w:r>
              <w:rPr>
                <w:b/>
                <w:bCs/>
                <w:i w:val="0"/>
                <w:iCs w:val="0"/>
                <w:smallCaps w:val="0"/>
                <w:color w:val="000000"/>
                <w:lang w:val="el" w:eastAsia="el"/>
              </w:rPr>
              <w:t>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bl>
    <w:p>
      <w:pPr>
        <w:spacing w:before="240" w:after="240"/>
        <w:rPr>
          <w:lang w:val="el" w:eastAsia="el"/>
        </w:rPr>
      </w:pPr>
      <w:r>
        <w:rPr>
          <w:b/>
          <w:bCs/>
          <w:lang w:val="el" w:eastAsia="el"/>
        </w:rPr>
        <w:t xml:space="preserve">ΣΤ. </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κατά το τρέχον οικονομικό έτος και τα δύο προηγούμενα οικονομικά έτη, δεν υπερβαίνει το ποσό των 30.000 ευρώ</w:t>
      </w:r>
    </w:p>
    <w:p>
      <w:pPr>
        <w:spacing w:before="240" w:after="240"/>
        <w:rPr>
          <w:lang w:val="el" w:eastAsia="el"/>
        </w:rPr>
      </w:pPr>
      <w:r>
        <w:rPr>
          <w:b/>
          <w:bCs/>
          <w:lang w:val="el" w:eastAsia="el"/>
        </w:rPr>
        <w:t>Ζ</w:t>
      </w:r>
      <w:r>
        <w:rPr>
          <w:lang w:val="el" w:eastAsia="el"/>
        </w:rPr>
        <w:t xml:space="preserve">. </w:t>
      </w:r>
      <w:r>
        <w:rPr>
          <w:i/>
          <w:iCs/>
          <w:lang w:val="el" w:eastAsia="el"/>
        </w:rPr>
        <w:t>(Σε περίπτωση που η επιχείρηση δραστηριοποιείται στην πρωτογενή παραγωγή προϊόντων αλιείας και υδατοκαλλιέργειας και επίσης σε άλλους τομείς ή άλλες δραστηριότητες που εμπίπτουν στο πεδίο εφαρμογής του Κανονισμού (ΕΕ) αριθμ. 2831/2023)</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βάσει του Κανονισμού (ΕΕ) αριθ. 2831/2023, κατά το τρέχον οικονομικό έτος και τα δύο προηγούμενα οικονομικά έτη, δεν υπερβαίνει το ποσό των 300.000 ευρώ.</w:t>
      </w:r>
    </w:p>
    <w:p>
      <w:pPr>
        <w:spacing w:before="240" w:after="240"/>
        <w:rPr>
          <w:lang w:val="el" w:eastAsia="el"/>
        </w:rPr>
      </w:pPr>
      <w:r>
        <w:rPr>
          <w:b/>
          <w:bCs/>
          <w:lang w:val="el" w:eastAsia="el"/>
        </w:rPr>
        <w:t xml:space="preserve">Η. </w:t>
      </w:r>
      <w:r>
        <w:rPr>
          <w:i/>
          <w:iCs/>
          <w:lang w:val="el" w:eastAsia="el"/>
        </w:rPr>
        <w:t>(Σε περίπτωση που η επιχείρηση δραστηριοποιείται στην πρωτογενή παραγωγή προϊόντων αλιείας και υδατοκαλλιέργειας και επίσης στον τομέα της πρωτογενούς παραγωγής γεωργικών προϊόντων που εμπίπτει στο πεδίο εφαρμογής του Κανονισμού (ΕΕ) αριθμ.1408/2013)</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για δραστηριότητα στον τομέα της πρωτογενούς παραγωγής γεωργικών προϊόντων βάσει του Κανονισμού (ΕΕ) αριθ. 1408/2013, κατά το τρέχον οικονομικό έτος και τα δύο προηγούμενα οικονομικά έτη, δεν υπερβαίνει το ποσό των 30.000 ευρώ.</w:t>
      </w:r>
    </w:p>
    <w:p>
      <w:pPr>
        <w:spacing w:before="240" w:after="240"/>
        <w:rPr>
          <w:lang w:val="el" w:eastAsia="el"/>
        </w:rPr>
      </w:pPr>
      <w:r>
        <w:rPr>
          <w:b/>
          <w:bCs/>
          <w:lang w:val="el" w:eastAsia="el"/>
        </w:rPr>
        <w:t xml:space="preserve">Θ. </w:t>
      </w:r>
      <w:r>
        <w:rPr>
          <w:lang w:val="el" w:eastAsia="el"/>
        </w:rPr>
        <w:t>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Ι.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w:t>
      </w:r>
    </w:p>
    <w:p>
      <w:pPr>
        <w:spacing w:before="240" w:after="240"/>
        <w:rPr>
          <w:lang w:val="el" w:eastAsia="el"/>
        </w:rPr>
      </w:pPr>
      <w:r>
        <w:rPr>
          <w:lang w:val="el" w:eastAsia="el"/>
        </w:rPr>
        <w:t>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Ημερομηνία:</w:t>
      </w:r>
    </w:p>
    <w:p>
      <w:pPr>
        <w:spacing w:before="240" w:after="240"/>
        <w:rPr>
          <w:lang w:val="el" w:eastAsia="el"/>
        </w:rPr>
      </w:pPr>
      <w:r>
        <w:rPr>
          <w:lang w:val="el" w:eastAsia="el"/>
        </w:rPr>
        <w:t>/……/</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sz w:val="30"/>
          <w:szCs w:val="30"/>
          <w:vertAlign w:val="superscript"/>
          <w:lang w:val="el" w:eastAsia="el"/>
        </w:rPr>
        <w:t>x</w:t>
      </w:r>
      <w:r>
        <w:rPr>
          <w:lang w:val="el" w:eastAsia="el"/>
        </w:rPr>
        <w:t xml:space="preserve">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sz w:val="30"/>
          <w:szCs w:val="30"/>
          <w:vertAlign w:val="superscript"/>
          <w:lang w:val="el" w:eastAsia="el"/>
        </w:rPr>
        <w:t>xi</w:t>
      </w:r>
      <w:r>
        <w:rPr>
          <w:lang w:val="el" w:eastAsia="el"/>
        </w:rPr>
        <w:t xml:space="preserve"> Αναγράφεται ολογράφως.</w:t>
      </w:r>
    </w:p>
    <w:p>
      <w:pPr>
        <w:spacing w:before="240" w:after="240"/>
        <w:rPr>
          <w:lang w:val="el" w:eastAsia="el"/>
        </w:rPr>
      </w:pPr>
      <w:r>
        <w:rPr>
          <w:sz w:val="30"/>
          <w:szCs w:val="30"/>
          <w:vertAlign w:val="superscript"/>
          <w:lang w:val="el" w:eastAsia="el"/>
        </w:rPr>
        <w:t>xii</w:t>
      </w:r>
      <w:r>
        <w:rPr>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xiii</w:t>
      </w:r>
      <w:r>
        <w:rPr>
          <w:lang w:val="el" w:eastAsia="el"/>
        </w:rPr>
        <w:t xml:space="preserve">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sz w:val="30"/>
          <w:szCs w:val="30"/>
          <w:vertAlign w:val="superscript"/>
          <w:lang w:val="el" w:eastAsia="el"/>
        </w:rPr>
        <w:t>xiv</w:t>
      </w:r>
      <w:r>
        <w:rPr>
          <w:lang w:val="el" w:eastAsia="el"/>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απαραίτητες για την προετοιμασία ενός ζώου ή φυτού για την πρώτη πώληση, συμπεριλαμβανομένης της κοπής, της φιλετοποίησης ή της κατάψυξης, και της πρώτης πώλησης σε μεταπωλητές ή μεταποιητές</w:t>
      </w:r>
    </w:p>
    <w:p>
      <w:pPr>
        <w:spacing w:before="240" w:after="240"/>
        <w:rPr>
          <w:lang w:val="el" w:eastAsia="el"/>
        </w:rPr>
      </w:pPr>
      <w:r>
        <w:rPr>
          <w:lang w:val="el" w:eastAsia="el"/>
        </w:rPr>
        <w:t>Περαιτέρω, ως «αλιευτικά προϊόντα και προϊόντα υδατοκαλλιέργειας» νοούνται τα προϊόντα που ορίζονται στο άρθρο 5 στοιχεία α) και β) του κανονισμού (ΕΕ) αριθ. 1379/2013 του Ευρωπαϊκού Κοινοβουλίου και του Συμβουλίου.</w:t>
      </w:r>
    </w:p>
    <w:p>
      <w:pPr>
        <w:spacing w:before="240" w:after="240"/>
        <w:rPr>
          <w:lang w:val="el" w:eastAsia="el"/>
        </w:rPr>
      </w:pPr>
      <w:r>
        <w:rPr>
          <w:lang w:val="el" w:eastAsia="el"/>
        </w:rPr>
        <w:t>Ως «μεταποίηση και εμπορία προϊόντων αλιείας και υδατοκαλλιέργειας» νοούνται όλες οι εργασίες , συμπεριλαμβανομένου του χειρισμού, της επεξεργασίας και της μετατροπής, που πραγματοποιούνται μετά τη στιγμή της εκφόρτωσης -ή της συγκομιδής στην περίπτωση της υδατοκαλλιέργειαςκαι έχουν ως αποτέλεσμα ένα μεταποιημένο προϊόν, καθώς και η διανομή του ·</w:t>
      </w:r>
    </w:p>
    <w:p>
      <w:pPr>
        <w:spacing w:before="240" w:after="240"/>
        <w:rPr>
          <w:lang w:val="el" w:eastAsia="el"/>
        </w:rPr>
      </w:pPr>
      <w:r>
        <w:rPr>
          <w:sz w:val="30"/>
          <w:szCs w:val="30"/>
          <w:vertAlign w:val="superscript"/>
          <w:lang w:val="el" w:eastAsia="el"/>
        </w:rPr>
        <w:t>xv</w:t>
      </w:r>
      <w:r>
        <w:rPr>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διατηρούν οποιαδήποτε από τις σχέσεις που αναφέρονται στα στοιχεία α) έως δ) με μία ή περισσότερες άλλες επιχειρήσεις θεωρούνται επίσης ως ενιαία επιχείρηση.</w:t>
      </w:r>
    </w:p>
    <w:p>
      <w:pPr>
        <w:spacing w:before="240" w:after="240"/>
        <w:rPr>
          <w:lang w:val="el" w:eastAsia="el"/>
        </w:rPr>
      </w:pPr>
      <w:r>
        <w:rPr>
          <w:sz w:val="30"/>
          <w:szCs w:val="30"/>
          <w:vertAlign w:val="superscript"/>
          <w:lang w:val="el" w:eastAsia="el"/>
        </w:rPr>
        <w:t>xvi</w:t>
      </w:r>
      <w:r>
        <w:rPr>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sz w:val="30"/>
          <w:szCs w:val="30"/>
          <w:vertAlign w:val="superscript"/>
          <w:lang w:val="el" w:eastAsia="el"/>
        </w:rPr>
        <w:t>xvii</w:t>
      </w:r>
      <w:r>
        <w:rPr>
          <w:lang w:val="el" w:eastAsia="el"/>
        </w:rPr>
        <w:t xml:space="preserve"> Σε περίπτωση συγχωνεύσεων ή εξαγορών, όλες οι προηγούμενες ενισχύσεις ήσσονος σημασίας που έχουν χορηγηθεί σε οποιαδήποτε από τις συγχωνευόμενες επιχειρήσεις λαμβάνονται υπόψη για να προσδιοριστεί κατά πόσον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sz w:val="30"/>
          <w:szCs w:val="30"/>
          <w:vertAlign w:val="superscript"/>
          <w:lang w:val="el" w:eastAsia="el"/>
        </w:rPr>
        <w:t>xviii</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ημερομηνία έναρξης ισχύος της διάσπασης.</w:t>
      </w:r>
    </w:p>
    <w:p>
      <w:pPr>
        <w:spacing w:before="240" w:after="240"/>
        <w:rPr>
          <w:lang w:val="el" w:eastAsia="el"/>
        </w:rPr>
      </w:pPr>
      <w:r>
        <w:rPr>
          <w:sz w:val="30"/>
          <w:szCs w:val="30"/>
          <w:vertAlign w:val="superscript"/>
          <w:lang w:val="el" w:eastAsia="el"/>
        </w:rPr>
        <w:t>xix</w:t>
      </w:r>
      <w:r>
        <w:rPr>
          <w:lang w:val="el" w:eastAsia="el"/>
        </w:rPr>
        <w:t xml:space="preserve">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 σύμφωνα με την Ανακοίνωση της Επιτροπής σχετικά με τα τρέχοντα επιτόκια ανάκτησης και τα επιτόκια αναφοράς/προεξόφλησης κρατικών ενισχύσεων που ισχύουν.</w:t>
      </w:r>
    </w:p>
    <w:p>
      <w:pPr>
        <w:pStyle w:val="Title"/>
        <w:spacing w:before="120" w:after="360"/>
        <w:rPr>
          <w:lang w:val="el" w:eastAsia="el"/>
        </w:rPr>
      </w:pPr>
      <w:r>
        <w:rPr>
          <w:b/>
          <w:bCs/>
          <w:lang w:val="el" w:eastAsia="el"/>
        </w:rPr>
        <w:t>Παράρτημα ΙΙΙ:</w:t>
      </w:r>
    </w:p>
    <w:p>
      <w:pPr>
        <w:spacing w:before="240" w:after="240"/>
        <w:rPr>
          <w:lang w:val="el" w:eastAsia="el"/>
        </w:rPr>
      </w:pPr>
      <w:r>
        <w:rPr>
          <w:b/>
          <w:bCs/>
          <w:lang w:val="el" w:eastAsia="el"/>
        </w:rPr>
        <w:t>Οριοθέτηση Πληγεισών Περιοχών</w:t>
      </w:r>
    </w:p>
    <w:p>
      <w:pPr>
        <w:spacing w:before="240" w:after="240"/>
        <w:rPr>
          <w:lang w:val="el" w:eastAsia="el"/>
        </w:rPr>
      </w:pPr>
      <w:r>
        <w:rPr>
          <w:lang w:val="el" w:eastAsia="el"/>
        </w:rPr>
        <w:t>Η οριοθέτηση των πληγεισών περιοχών αποτυπώνεται στον κατωτέρω πίνακα με βάση τις: A) υπό στοιχεία 20875/Δ.Α.Ε.Φ.Κ.-Κ.Ε./Α325/04.10.2023 κοινή απόφαση των Υπουργών Εθνικής Οικονομίας και Οικονομικών, Εσωτερικών και Κλιματικής Κρίσης και Πολιτικής Προστασίας «Οριοθέτηση περιοχών και χορήγηση Στεγαστικής Συνδρομής για την αποκατάσταση των ζημιών σε κτήρια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5813, διόρθωση σφάλματος Β’ 5842), και</w:t>
      </w:r>
    </w:p>
    <w:p>
      <w:pPr>
        <w:spacing w:before="240" w:after="240"/>
        <w:rPr>
          <w:lang w:val="el" w:eastAsia="el"/>
        </w:rPr>
      </w:pPr>
      <w:r>
        <w:rPr>
          <w:lang w:val="el" w:eastAsia="el"/>
        </w:rPr>
        <w:t>B) υπό στοιχεία 45008/ΔΑΕΦΚ-ΚΕ/Α325/23 κοινή απόφαση των Υπουργών Εθνικής Οικονομίας και Οικονομικών, Εσωτερικών και Κλιματικής Κρίσης και Πολιτικής Προστασίας: «Συμπληρωματική οριοθέτηση περιοχών και χορήγηση στεγαστικής συνδρομής για την αποκατάσταση των ζημιών σε κτήρια από τις πλημμύρες του Σεπτεμβρίου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γ) Ανατολικής Αττικής, Νήσων και Νότιου Τομέα Αθηνών, της Περιφέρειας Αττικής και δ) Αργολίδας, της Περιφέρειας Πελοποννήσου» (Β’ 7536), όπως ισχύουν.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6"/>
        <w:gridCol w:w="2982"/>
        <w:gridCol w:w="410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 ΑΤΤΙΚΗΣ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 ΑΝΑΤΟΛΙΚΗΣ 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ΔΗΜΟΤΙΚΕΣ ΚΟΙΝΟΤΗΤΕΣ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ΚΡΩΠΙΑΣ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ΟΛΟΣ Ο ΔΗΜΟΣ ΚΡΩΠΙΑΣ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ΛΑΥΡΕΩΤΙΚΗΣ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Όλη η Δημοτική Ενότητα Λαυρεωτικής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ΜΑΡΚΟΠΟΥΛΟ ΜΕΣΟΓΑΙΑΣ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Ενότητα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Μαρκοπούλου Μεσογαίας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Κοινότητα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Μαρκοπούλου Μεσογαίας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ΣΑΡΩΝΙΚΟΥ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Αναβύσσου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Αναβύσσου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ΣΑΡΩΝΙΚΟΥ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Καλυβίων Θορικού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Καλυβίων Θορικού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ΣΑΡΩΝΙΚΟΥ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Παλαιάς Φώκαιας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Παλαιάς Φώκαιας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ΔΗΜΟΤΙΚΕΣ ΚΟΙΝΟΤΗΤΕΣ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Αίγινας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Αίγινας, Βαθέος και Μεσαγρού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ΣΑΛΑΜΙΝΑΣ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Αμπελακίων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Σεληνίων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ΣΑΛΑΜΙΝΑΣ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Σαλαμίνας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Δημοτικές Κοινότητες</w:t>
            </w:r>
          </w:p>
          <w:p>
            <w:pPr>
              <w:spacing w:before="240"/>
              <w:rPr>
                <w:b w:val="0"/>
                <w:bCs w:val="0"/>
                <w:i w:val="0"/>
                <w:iCs w:val="0"/>
                <w:smallCaps w:val="0"/>
                <w:color w:val="000000"/>
                <w:lang w:val="el" w:eastAsia="el"/>
              </w:rPr>
            </w:pPr>
            <w:r>
              <w:rPr>
                <w:b w:val="0"/>
                <w:bCs w:val="0"/>
                <w:i w:val="0"/>
                <w:iCs w:val="0"/>
                <w:smallCaps w:val="0"/>
                <w:color w:val="000000"/>
                <w:lang w:val="el" w:eastAsia="el"/>
              </w:rPr>
              <w:t>Αιαντείου και Σαλαμίνος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 ΝΟΤΙΟΥ ΤΟΜΕΑ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ΔΗΜΟΤΙΚΕΣ ΚΟΙΝΟΤΗΤΕΣ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1"/>
        <w:gridCol w:w="1920"/>
        <w:gridCol w:w="56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ΟΛΟΣ Ο ΔΗΜΟΣ ΑΛΙΜΟΥ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ΠΑΛΑΙΟΥ ΦΑΛΗΡΟΥ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ΟΛΟΣ Ο ΔΗΜΟΣ ΠΑΛΑΙΟΥ ΦΑΛΗΡΟΥ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 ΘΕΣΣΑΛΙΑΣ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 ΚΑΡΔΙΤΣΑΣ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ΔΗΜΟΤΙΚΕΣ ΚΟΙΝΟΤΗΤΕΣ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ΑΡΓΙΘΕΑΣ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Αργιθέας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Δημοτικές Κοινότητες Αργιθέας, Ανθηρού και</w:t>
            </w:r>
          </w:p>
          <w:p>
            <w:pPr>
              <w:spacing w:before="240"/>
              <w:rPr>
                <w:b w:val="0"/>
                <w:bCs w:val="0"/>
                <w:i w:val="0"/>
                <w:iCs w:val="0"/>
                <w:smallCaps w:val="0"/>
                <w:color w:val="000000"/>
                <w:lang w:val="el" w:eastAsia="el"/>
              </w:rPr>
            </w:pPr>
            <w:r>
              <w:rPr>
                <w:b w:val="0"/>
                <w:bCs w:val="0"/>
                <w:i w:val="0"/>
                <w:iCs w:val="0"/>
                <w:smallCaps w:val="0"/>
                <w:color w:val="000000"/>
                <w:lang w:val="el" w:eastAsia="el"/>
              </w:rPr>
              <w:t>Μεσοβουνίου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ΑΡΓΙΘΕΑΣ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Ανατολικής Αργιθέας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Δημοτικές Κοινότητες Βλασίου και Πετρίλου, Κουμπουριανών και</w:t>
            </w:r>
          </w:p>
          <w:p>
            <w:pPr>
              <w:spacing w:before="240"/>
              <w:rPr>
                <w:b w:val="0"/>
                <w:bCs w:val="0"/>
                <w:i w:val="0"/>
                <w:iCs w:val="0"/>
                <w:smallCaps w:val="0"/>
                <w:color w:val="000000"/>
                <w:lang w:val="el" w:eastAsia="el"/>
              </w:rPr>
            </w:pPr>
            <w:r>
              <w:rPr>
                <w:b w:val="0"/>
                <w:bCs w:val="0"/>
                <w:i w:val="0"/>
                <w:iCs w:val="0"/>
                <w:smallCaps w:val="0"/>
                <w:color w:val="000000"/>
                <w:lang w:val="el" w:eastAsia="el"/>
              </w:rPr>
              <w:t>Πετροχωρίου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Κάμπου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Μητρόπολης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Ιτάμου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Δημοτικές Κοινότητες Αμπελικού, Καλλιθήρου και</w:t>
            </w:r>
          </w:p>
          <w:p>
            <w:pPr>
              <w:spacing w:before="240"/>
              <w:rPr>
                <w:b w:val="0"/>
                <w:bCs w:val="0"/>
                <w:i w:val="0"/>
                <w:iCs w:val="0"/>
                <w:smallCaps w:val="0"/>
                <w:color w:val="000000"/>
                <w:lang w:val="el" w:eastAsia="el"/>
              </w:rPr>
            </w:pPr>
            <w:r>
              <w:rPr>
                <w:b w:val="0"/>
                <w:bCs w:val="0"/>
                <w:i w:val="0"/>
                <w:iCs w:val="0"/>
                <w:smallCaps w:val="0"/>
                <w:color w:val="000000"/>
                <w:lang w:val="el" w:eastAsia="el"/>
              </w:rPr>
              <w:t>Ραχούλας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Ενότητα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Καλλιφωνίου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Δαφνοσπηλιάς, Ζαϊμίου και Καλλιφωνίου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Καρδίτσας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Ρούσσου, Καρδιτσομαγούλας, Αγιοπηγής, Αρτεσιανού, Παλαιοκκλησίου και οι περιοχές «Παλέρμο- Καροπλεσίτικα», «Καμινάδες», «Μαύρικα» και «Άγιος Δημήτριος» της Δημοτικής Κοινότητας Καρδίτσης, Οι εκτός εγκεκριμένου ρυμοτομικού σχεδίου περιοχές, η Λεωφόρος Δημοκρατίας (από την οδό Αγράφων μέχρι τα φανάρια του Περιφερειακού) και η οδός Τρικάλων (από την οδό Καποδιστρίου μέχρι τα φανάρια του Περιφερειακού), της Δημοτικής Κοινότητας Καρδίτσης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ΛΙΜΝΗΣ ΠΛΑΣΤΗΡΑ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Νεβρόπολης Αγράφων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Κρυονερίου, Νεοχωρίου, Πεζούλας, Καρίτσης Δολόπων, Μπελοκομίτης και Φυλακτής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97"/>
        <w:gridCol w:w="1943"/>
        <w:gridCol w:w="55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ΛΙΜΝΗΣ ΠΛΑΣΤΗΡΑ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Πλαστήρα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ΜΟΥΖΑΚΙΟΥ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Μουζακίου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Μαυρομματίου, Μουζακίου, Κρυοπηγής, Μαγουλίτσης, Πορτής, Ανθοχωρίου, Βατσουνιάς, Δρακότρυπας, Ελληνοκάστρου, Οξυάς και Πευκοφύτου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ΜΟΥΖΑΚΙΟΥ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Ιθώμης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Καππά, Λοξάδας, Φαναρίου, Αγίου Ακακίου, Ελληνοπύργου, Καναλίων και Χάρματος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ΜΟΥΖΑΚΙΟΥ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Παμίσου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ΟΛΟΚΛΗΡΟΣ Ο ΔΗΜΟΣ ΠΑΛΑΜΑ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Μενελαΐδας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Κέδρου, Λουτρού και Λουτροπηγής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Άρνης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Σοφάδων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Ταμασίου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 ΛΑΡΙΣΑΣ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ΔΗΜΟΤΙΚΕΣ ΚΟΙΝΟΤΗΤΕΣ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Μελιβοίας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Μελιβοίας, Σκήτης και Σωτηρίτσης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Αγιάς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Αγιάς, Αετολόφου, Μεταξοχωρίου και Νερομύλων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ΕΛΑΣΣΟΝΑΣ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Ολύμπου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Λόφου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ΕΛΑΣΣΟΝΑΣ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Ποταμιάς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Κοινότητα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Μεγάλου Ελευθεροχωρίου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ΕΛΑΣΣΟΝΑΣ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Καρυάς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Καρυάς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ΚΙΛΕΛΕΡ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ΟΛΟΚΛΗΡΟΣ Ο ΔΗΜΟΣ ΚΙΛΕΛΕΡ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Κοιλάδας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Κουτσοχέρου, Μάνδρας, Ραχούλας και Αμυγδαλέας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Γιάννουλης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Γιάννουλης και Φαλάννης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43"/>
        <w:gridCol w:w="2003"/>
        <w:gridCol w:w="55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Λαρισαίων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1ου Δημοτικού Διαμερίσματος Λαρίσης, Δημοτική Κοινότητα 2ου Δημοτικού Διαμερίσματος Λαρίσης, Δημοτική Κοινότητα 3ου Δημοτικού Διαμερίσματος Λαρίσης (συμπεριλαμβάνονται οι οικισμοί Κουλούριου και Αμφιθέας), Δημοτική Κοινότητα 4ου Δημοτικού Διαμερίσματος Λαρίσης και Δημοτική Κοινότητα Τερψιθέας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ΤΕΜΠΩΝ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Κάτω Ολύμπου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Ραψάνης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ΤΕΜΠΩΝ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Μακρυχωρίου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Μακρυχωρίου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ΤΕΜΠΩΝ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Αμπελακίων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Δημοτικές Κοινότητες</w:t>
            </w:r>
          </w:p>
          <w:p>
            <w:pPr>
              <w:spacing w:before="240"/>
              <w:rPr>
                <w:b w:val="0"/>
                <w:bCs w:val="0"/>
                <w:i w:val="0"/>
                <w:iCs w:val="0"/>
                <w:smallCaps w:val="0"/>
                <w:color w:val="000000"/>
                <w:lang w:val="el" w:eastAsia="el"/>
              </w:rPr>
            </w:pPr>
            <w:r>
              <w:rPr>
                <w:b w:val="0"/>
                <w:bCs w:val="0"/>
                <w:i w:val="0"/>
                <w:iCs w:val="0"/>
                <w:smallCaps w:val="0"/>
                <w:color w:val="000000"/>
                <w:lang w:val="el" w:eastAsia="el"/>
              </w:rPr>
              <w:t>Τεμπών και Αμπελακίων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ΤΥΡΝΑΒΟΥ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Αμπελώνος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Αμπελώνος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ΤΥΡΝΑΒΟΥ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Τυρνάβου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Δαμασίου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ΦΑΡΣΑΛΩΝ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Ναρθακίου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Διλόφου Φαρσάλων και Ναρθακίου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ΦΑΡΣΑΛΩΝ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Πολυδάμαντα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Βαμβακούς και Σιτοχώρου και Χαλκιάδων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ΦΑΡΣΑΛΩΝ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Φαρσάλων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ΦΑΡΣΑΛΩΝ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Ενιππέα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 ΜΑΓΝΗΣΙΑΣ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ΔΗΜΟΤΙΚΕΣ ΚΟΙΝΟΤΗΤΕΣ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ΑΛΜΥΡΟΥ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Σούρπης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Σούρπης, Αγίας Τριάδος, Αμαλιαπόλεως, Δρυμώνος και Βρυναίνης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ΑΛΜΥΡΟΥ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Αλμυρού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Αλμυρού, Κροκίου, Ευξεινουπόλεως και Πλατάνου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ΟΛΟΚΛΗΡΟΣ Ο ΔΗΜΟΣ 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ΖΑΓΟΡΑΣ - ΜΟΥΡΕΣΙΟΥ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Ζαγοράς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84"/>
        <w:gridCol w:w="2218"/>
        <w:gridCol w:w="51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ΖΑΓΟΡΑΣ - ΜΟΥΡΕΣΙΟΥ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Μουρεσίου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ΠΗΛΙΟΥ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ΟΛΟΚΛΗΡΟΣ Ο ΔΗΜΟΣ ΝΟΤΙΟΥ ΠΗΛΙΟΥ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ΡΗΓΑ ΦΕΡΑΙΟΥ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Φερών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Βελεστίνου, Περιβλέπτου και Αγίου Γεωργίου Φερών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ΡΗΓΑ ΦΕΡΑΙΟΥ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Κάρλας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ΡΗΓΑ ΦΕΡΑΙΟΥ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Κεραμιδίου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 ΣΠΟΡΑΔΩΝ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ΔΗΜΟΤΙΚΕΣ ΚΟΙΝΟΤΗΤΕΣ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ΣΚΙΑΘΟΥ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ΟΛΟΚΛΗΡΟΣ</w:t>
            </w:r>
            <w:r>
              <w:rPr>
                <w:b w:val="0"/>
                <w:bCs w:val="0"/>
                <w:i w:val="0"/>
                <w:iCs w:val="0"/>
                <w:smallCaps w:val="0"/>
                <w:color w:val="000000"/>
                <w:lang w:val="el" w:eastAsia="el"/>
              </w:rPr>
              <w:t xml:space="preserve"> Ο ΔΗΜΟΣ</w:t>
            </w:r>
          </w:p>
          <w:p>
            <w:pPr>
              <w:spacing w:before="240"/>
              <w:rPr>
                <w:b w:val="0"/>
                <w:bCs w:val="0"/>
                <w:i w:val="0"/>
                <w:iCs w:val="0"/>
                <w:smallCaps w:val="0"/>
                <w:color w:val="000000"/>
                <w:lang w:val="el" w:eastAsia="el"/>
              </w:rPr>
            </w:pPr>
            <w:r>
              <w:rPr>
                <w:b w:val="0"/>
                <w:bCs w:val="0"/>
                <w:i w:val="0"/>
                <w:iCs w:val="0"/>
                <w:smallCaps w:val="0"/>
                <w:color w:val="000000"/>
                <w:lang w:val="el" w:eastAsia="el"/>
              </w:rPr>
              <w:t>ΣΚΙΑΘΟΥ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ΟΛΟΚΛΗΡΟΣ</w:t>
            </w:r>
            <w:r>
              <w:rPr>
                <w:b w:val="0"/>
                <w:bCs w:val="0"/>
                <w:i w:val="0"/>
                <w:iCs w:val="0"/>
                <w:smallCaps w:val="0"/>
                <w:color w:val="000000"/>
                <w:lang w:val="el" w:eastAsia="el"/>
              </w:rPr>
              <w:t xml:space="preserve"> Ο ΔΗΜΟΣ</w:t>
            </w:r>
          </w:p>
          <w:p>
            <w:pPr>
              <w:spacing w:before="240"/>
              <w:rPr>
                <w:b w:val="0"/>
                <w:bCs w:val="0"/>
                <w:i w:val="0"/>
                <w:iCs w:val="0"/>
                <w:smallCaps w:val="0"/>
                <w:color w:val="000000"/>
                <w:lang w:val="el" w:eastAsia="el"/>
              </w:rPr>
            </w:pPr>
            <w:r>
              <w:rPr>
                <w:b w:val="0"/>
                <w:bCs w:val="0"/>
                <w:i w:val="0"/>
                <w:iCs w:val="0"/>
                <w:smallCaps w:val="0"/>
                <w:color w:val="000000"/>
                <w:lang w:val="el" w:eastAsia="el"/>
              </w:rPr>
              <w:t>ΑΛΟΝΝΗΣΟΥ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 ΤΡΙΚΑΛΩΝ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ΔΗΜΟΤΙΚΕΣ ΚΟΙΝΟΤΗΤΕΣ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ΜΕΤΕΩΡΩΝ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Ενότητα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Ασπροποτάμου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Δημοτικές Κοινότητες Αγίας Παρασκευής, Ανθούσης, Καλλιρρόης, Καταφύτου, </w:t>
            </w:r>
            <w:r>
              <w:rPr>
                <w:b w:val="0"/>
                <w:bCs w:val="0"/>
                <w:i/>
                <w:iCs/>
                <w:smallCaps w:val="0"/>
                <w:color w:val="000000"/>
                <w:lang w:val="el" w:eastAsia="el"/>
              </w:rPr>
              <w:t>Κρανέας</w:t>
            </w:r>
            <w:r>
              <w:rPr>
                <w:b w:val="0"/>
                <w:bCs w:val="0"/>
                <w:i w:val="0"/>
                <w:iCs w:val="0"/>
                <w:smallCaps w:val="0"/>
                <w:color w:val="000000"/>
                <w:lang w:val="el" w:eastAsia="el"/>
              </w:rPr>
              <w:t xml:space="preserve"> και Πολυθέας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ΜΕΤΕΩΡΩΝ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Καστανιάς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Αμαράντου, Αμπελοχωρίου, Καλομοίρας και Καστανέας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ΜΕΤΕΩΡΩΝ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Δημοτικής Ενότητας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Κλεινοβού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Δημοτικές Κοινότητες Αηδόνος, Καλογριανής, Κλεινού, Παλαιοχωρίου και</w:t>
            </w:r>
          </w:p>
          <w:p>
            <w:pPr>
              <w:spacing w:before="240"/>
              <w:rPr>
                <w:b w:val="0"/>
                <w:bCs w:val="0"/>
                <w:i w:val="0"/>
                <w:iCs w:val="0"/>
                <w:smallCaps w:val="0"/>
                <w:color w:val="000000"/>
                <w:lang w:val="el" w:eastAsia="el"/>
              </w:rPr>
            </w:pPr>
            <w:r>
              <w:rPr>
                <w:b w:val="0"/>
                <w:bCs w:val="0"/>
                <w:i w:val="0"/>
                <w:iCs w:val="0"/>
                <w:smallCaps w:val="0"/>
                <w:color w:val="000000"/>
                <w:lang w:val="el" w:eastAsia="el"/>
              </w:rPr>
              <w:t>Χρυσομηλέας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ΜΕΤΕΩΡΩΝ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Βασιλικής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Θεοπέτρας, Βασιλικής και Περιστέρας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ΜΕΤΕΩΡΩΝ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Μαλακασίου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Μαλακασίου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ΜΕΤΕΩΡΩΝ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Δημοτικής Ενότητας Χασίων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Κοινότητα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Οξυνείας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Γόμφων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Δροσερού, Παλαιομοναστήρου, Γόμφων, Λυγαριάς, Μουριάς και Πηγής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Πιαλείων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Παραποτάμου, Ελευθεροχωρίου, Πιαλείας, Φήκης και Φιλύρας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Πύλης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Πύλης, Αγίου Βησσαρίωνος,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3"/>
        <w:gridCol w:w="2286"/>
        <w:gridCol w:w="49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Κοτρωνίου, Παλαιοκαρυάς, Πετροχωρίου και Ροποτού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Αιθήκων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Ελάτης, Αθαμανίας, Καλογήρων, Νεραϊδοχωρίου (τ. Χατζηπετρίου), Περτουλίου και Πυρράς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Πινδέων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Βαθυρρεύματος, Μεσοχώρας και Στουρναραιίκων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ΤΡΙΚΚΑΙΩΝ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Ενότητα</w:t>
            </w:r>
          </w:p>
          <w:p>
            <w:pPr>
              <w:spacing w:before="240"/>
              <w:rPr>
                <w:b w:val="0"/>
                <w:bCs w:val="0"/>
                <w:i w:val="0"/>
                <w:iCs w:val="0"/>
                <w:smallCaps w:val="0"/>
                <w:color w:val="000000"/>
                <w:lang w:val="el" w:eastAsia="el"/>
              </w:rPr>
            </w:pPr>
            <w:r>
              <w:rPr>
                <w:b w:val="0"/>
                <w:bCs w:val="0"/>
                <w:i w:val="0"/>
                <w:iCs w:val="0"/>
                <w:smallCaps w:val="0"/>
                <w:color w:val="000000"/>
                <w:lang w:val="el" w:eastAsia="el"/>
              </w:rPr>
              <w:t>Παληοκάστρου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Δημοτικές Κοινότητες Ζηλευτής, Κρηνίτσης, Παλαιοπύργου και</w:t>
            </w:r>
          </w:p>
          <w:p>
            <w:pPr>
              <w:spacing w:before="240"/>
              <w:rPr>
                <w:b w:val="0"/>
                <w:bCs w:val="0"/>
                <w:i w:val="0"/>
                <w:iCs w:val="0"/>
                <w:smallCaps w:val="0"/>
                <w:color w:val="000000"/>
                <w:lang w:val="el" w:eastAsia="el"/>
              </w:rPr>
            </w:pPr>
            <w:r>
              <w:rPr>
                <w:b w:val="0"/>
                <w:bCs w:val="0"/>
                <w:i w:val="0"/>
                <w:iCs w:val="0"/>
                <w:smallCaps w:val="0"/>
                <w:color w:val="000000"/>
                <w:lang w:val="el" w:eastAsia="el"/>
              </w:rPr>
              <w:t>Αρδανίου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ΤΡΙΚΚΑΙΩΝ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Εστιαιώτιδας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ΤΡΙΚΚΑΙΩΝ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Καλλιδένδρου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ΤΡΙΚΚΑΙΩΝ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Μεγάλων Καλυβίων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ΤΡΙΚΚΑΙΩΝ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Τρικκαίων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ΤΡΙΚΚΑΙΩΝ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Ενότητα</w:t>
            </w:r>
          </w:p>
          <w:p>
            <w:pPr>
              <w:spacing w:before="240"/>
              <w:rPr>
                <w:b w:val="0"/>
                <w:bCs w:val="0"/>
                <w:i w:val="0"/>
                <w:iCs w:val="0"/>
                <w:smallCaps w:val="0"/>
                <w:color w:val="000000"/>
                <w:lang w:val="el" w:eastAsia="el"/>
              </w:rPr>
            </w:pPr>
            <w:r>
              <w:rPr>
                <w:b w:val="0"/>
                <w:bCs w:val="0"/>
                <w:i w:val="0"/>
                <w:iCs w:val="0"/>
                <w:smallCaps w:val="0"/>
                <w:color w:val="000000"/>
                <w:lang w:val="el" w:eastAsia="el"/>
              </w:rPr>
              <w:t>Φαλώρειας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Δημοτικές Κοινότητες Διποτάμου, Κεφαλοβρύσου, Διαλεκτού, Μεγάλου Κεφαλόβρυσου και</w:t>
            </w:r>
          </w:p>
          <w:p>
            <w:pPr>
              <w:spacing w:before="240"/>
              <w:rPr>
                <w:b w:val="0"/>
                <w:bCs w:val="0"/>
                <w:i w:val="0"/>
                <w:iCs w:val="0"/>
                <w:smallCaps w:val="0"/>
                <w:color w:val="000000"/>
                <w:lang w:val="el" w:eastAsia="el"/>
              </w:rPr>
            </w:pPr>
            <w:r>
              <w:rPr>
                <w:b w:val="0"/>
                <w:bCs w:val="0"/>
                <w:i w:val="0"/>
                <w:iCs w:val="0"/>
                <w:smallCaps w:val="0"/>
                <w:color w:val="000000"/>
                <w:lang w:val="el" w:eastAsia="el"/>
              </w:rPr>
              <w:t>Μεγάρχης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ΤΡΙΚΚΑΙΩΝ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Κόζιακα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Γοργογυρίου και Πρίνου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ΤΡΙΚΚΑΙΩΝ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Ενότητα</w:t>
            </w:r>
          </w:p>
          <w:p>
            <w:pPr>
              <w:spacing w:before="240"/>
              <w:rPr>
                <w:b w:val="0"/>
                <w:bCs w:val="0"/>
                <w:i w:val="0"/>
                <w:iCs w:val="0"/>
                <w:smallCaps w:val="0"/>
                <w:color w:val="000000"/>
                <w:lang w:val="el" w:eastAsia="el"/>
              </w:rPr>
            </w:pPr>
            <w:r>
              <w:rPr>
                <w:b w:val="0"/>
                <w:bCs w:val="0"/>
                <w:i w:val="0"/>
                <w:iCs w:val="0"/>
                <w:smallCaps w:val="0"/>
                <w:color w:val="000000"/>
                <w:lang w:val="el" w:eastAsia="el"/>
              </w:rPr>
              <w:t>Παραληθαίων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Πλατάνου και Ράξας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ΦΑΡΚΑΔΟΝΑΣ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Δημοτικής Ενότητας</w:t>
            </w:r>
          </w:p>
          <w:p>
            <w:pPr>
              <w:spacing w:before="240"/>
              <w:rPr>
                <w:b w:val="0"/>
                <w:bCs w:val="0"/>
                <w:i w:val="0"/>
                <w:iCs w:val="0"/>
                <w:smallCaps w:val="0"/>
                <w:color w:val="000000"/>
                <w:lang w:val="el" w:eastAsia="el"/>
              </w:rPr>
            </w:pPr>
            <w:r>
              <w:rPr>
                <w:b w:val="0"/>
                <w:bCs w:val="0"/>
                <w:i w:val="0"/>
                <w:iCs w:val="0"/>
                <w:smallCaps w:val="0"/>
                <w:color w:val="000000"/>
                <w:lang w:val="el" w:eastAsia="el"/>
              </w:rPr>
              <w:t>Φαρκαδόνας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Δημοτικές Κοινότητες Φαρκαδόνος, Κεραμιδίου, Πηνειάδος, Γριζάνου και</w:t>
            </w:r>
          </w:p>
          <w:p>
            <w:pPr>
              <w:spacing w:before="240"/>
              <w:rPr>
                <w:b w:val="0"/>
                <w:bCs w:val="0"/>
                <w:i w:val="0"/>
                <w:iCs w:val="0"/>
                <w:smallCaps w:val="0"/>
                <w:color w:val="000000"/>
                <w:lang w:val="el" w:eastAsia="el"/>
              </w:rPr>
            </w:pPr>
            <w:r>
              <w:rPr>
                <w:b w:val="0"/>
                <w:bCs w:val="0"/>
                <w:i w:val="0"/>
                <w:iCs w:val="0"/>
                <w:smallCaps w:val="0"/>
                <w:color w:val="000000"/>
                <w:lang w:val="el" w:eastAsia="el"/>
              </w:rPr>
              <w:t>Ζάρκου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ΦΑΡΚΑΔΟΝΑΣ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Ολόκληρη η Δημοτική Ενότητα Πελλιναίων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ΦΑΡΚΑΔΟΝΑΣ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Οιχαλίας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Γεωργανάδων και Κλοκοτού, Οιχαλίας (Νεοχωρίου) και Πετρωτού</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 ΠΕΛΛΟΠΟΝΗΣΟΥ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 ΑΡΓΟΛΙΔΑΣ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ΔΗΜΟΤΙΚΕΣ ΚΟΙΝΟΤΗΤΕΣ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ΕΡΜΙΟΝΙΔΑΣ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Κρανιδίου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Κρανιδίου, Πορτοχελίου,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4"/>
        <w:gridCol w:w="2189"/>
        <w:gridCol w:w="51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Διδύμων, Κοιλάδος και</w:t>
            </w:r>
          </w:p>
          <w:p>
            <w:pPr>
              <w:spacing w:before="240"/>
              <w:rPr>
                <w:b w:val="0"/>
                <w:bCs w:val="0"/>
                <w:i w:val="0"/>
                <w:iCs w:val="0"/>
                <w:smallCaps w:val="0"/>
                <w:color w:val="000000"/>
                <w:lang w:val="el" w:eastAsia="el"/>
              </w:rPr>
            </w:pPr>
            <w:r>
              <w:rPr>
                <w:b w:val="0"/>
                <w:bCs w:val="0"/>
                <w:i w:val="0"/>
                <w:iCs w:val="0"/>
                <w:smallCaps w:val="0"/>
                <w:color w:val="000000"/>
                <w:lang w:val="el" w:eastAsia="el"/>
              </w:rPr>
              <w:t>Φούρνων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ΕΡΜΙΟΝΙΔΑΣ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Ερμιόνης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Κοινότητα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Ερμιόνης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 ΣΤΕΡΕΑΣ ΕΛΛΑΔΑΣ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 ΕΥΒΟΙΑΣ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ΔΗΜΟΤΙΚΕΣ ΚΟΙΝΟΤΗΤΕΣ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ΙΣΤΙΑΙΑΣ - ΑΙΔΗΨΟΥ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Αιδηψού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Λουτρών Αιδηψού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ΙΣΤΙΑΙΑΣ - ΑΙΔΗΨΟΥ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Ιστιαίας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Κοινότητα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Ιστιαίας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ΙΣΤΙΑΙΑΣ - ΑΙΔΗΨΟΥ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Ωραιών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Νέου Πύργου, Ταξιάρχου και Ωραιών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ΚΑΡΥΣΤΟΥ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Στυρέων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Κοινότητα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Αλμυροποτάμου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ΚΥΜΗΣ ΑΛΙΒΕΡΙΟΥ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Αυλώνος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Κοινότητα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Οκτωνιάς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ΚΥΜΗΣ ΑΛΙΒΕΡΙΟΥ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Ταμυνέων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Κοινότητα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Αλιβερίου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ΜΑΝΤΟΥΔΙΟΥ-ΛΙΜΝΗΣ-</w:t>
            </w:r>
          </w:p>
          <w:p>
            <w:pPr>
              <w:spacing w:before="240"/>
              <w:rPr>
                <w:b w:val="0"/>
                <w:bCs w:val="0"/>
                <w:i w:val="0"/>
                <w:iCs w:val="0"/>
                <w:smallCaps w:val="0"/>
                <w:color w:val="000000"/>
                <w:lang w:val="el" w:eastAsia="el"/>
              </w:rPr>
            </w:pPr>
            <w:r>
              <w:rPr>
                <w:b w:val="0"/>
                <w:bCs w:val="0"/>
                <w:i w:val="0"/>
                <w:iCs w:val="0"/>
                <w:smallCaps w:val="0"/>
                <w:color w:val="000000"/>
                <w:lang w:val="el" w:eastAsia="el"/>
              </w:rPr>
              <w:t>ΑΓΙΑΣ ΑΝΝΑΣ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Ελιμνίων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Λίμνης, Ροβιών, Κεχριών και Αγίας Άννης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ΜΑΝΤΟΥΔΙΟΥ-ΛΙΜΝΗΣ-</w:t>
            </w:r>
          </w:p>
          <w:p>
            <w:pPr>
              <w:spacing w:before="240"/>
              <w:rPr>
                <w:b w:val="0"/>
                <w:bCs w:val="0"/>
                <w:i w:val="0"/>
                <w:iCs w:val="0"/>
                <w:smallCaps w:val="0"/>
                <w:color w:val="000000"/>
                <w:lang w:val="el" w:eastAsia="el"/>
              </w:rPr>
            </w:pPr>
            <w:r>
              <w:rPr>
                <w:b w:val="0"/>
                <w:bCs w:val="0"/>
                <w:i w:val="0"/>
                <w:iCs w:val="0"/>
                <w:smallCaps w:val="0"/>
                <w:color w:val="000000"/>
                <w:lang w:val="el" w:eastAsia="el"/>
              </w:rPr>
              <w:t>ΑΓΙΑΣ ΑΝΝΑΣ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Κηρέως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Δημοτικές Κοινότητες Μαντουδίου, Φαράκλας, Στροφυλιάς, Μετοχίου Κηρέως και Πηλίου και</w:t>
            </w:r>
          </w:p>
          <w:p>
            <w:pPr>
              <w:spacing w:before="240"/>
              <w:rPr>
                <w:b w:val="0"/>
                <w:bCs w:val="0"/>
                <w:i w:val="0"/>
                <w:iCs w:val="0"/>
                <w:smallCaps w:val="0"/>
                <w:color w:val="000000"/>
                <w:lang w:val="el" w:eastAsia="el"/>
              </w:rPr>
            </w:pPr>
            <w:r>
              <w:rPr>
                <w:b w:val="0"/>
                <w:bCs w:val="0"/>
                <w:i w:val="0"/>
                <w:iCs w:val="0"/>
                <w:smallCaps w:val="0"/>
                <w:color w:val="000000"/>
                <w:lang w:val="el" w:eastAsia="el"/>
              </w:rPr>
              <w:t>Βλαχιάς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 ΦΘΙΩΤΙΔΑΣ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ΔΗΜΟΤΙΚΕΣ ΚΟΙΝΟΤΗΤΕΣ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ΔΟΜΟΚΟΥ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Δημοτική Ενότητα </w:t>
            </w:r>
            <w:r>
              <w:rPr>
                <w:b w:val="0"/>
                <w:bCs w:val="0"/>
                <w:i/>
                <w:iCs/>
                <w:smallCaps w:val="0"/>
                <w:color w:val="000000"/>
                <w:lang w:val="el" w:eastAsia="el"/>
              </w:rPr>
              <w:t>Δομοκού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Δομοκού Πουρναρίου, Βουζίου, Γερακλίου, Καρυών, Μαντασιάς, Πετρωτού και Πολυδενδρίου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ΔΟΜΟΚΟΥ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Ενότητα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Θεσσαλιώτιδος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Δημοτικές Κοινότητες Βαρδαλής, Βελεσιωτών, Νέου Μοναστηρίου, Σοφιάδας, Αγραπιδιάς, Γαβρακίων, Εκκάρας και</w:t>
            </w:r>
          </w:p>
          <w:p>
            <w:pPr>
              <w:spacing w:before="240"/>
              <w:rPr>
                <w:b w:val="0"/>
                <w:bCs w:val="0"/>
                <w:i w:val="0"/>
                <w:iCs w:val="0"/>
                <w:smallCaps w:val="0"/>
                <w:color w:val="000000"/>
                <w:lang w:val="el" w:eastAsia="el"/>
              </w:rPr>
            </w:pPr>
            <w:r>
              <w:rPr>
                <w:b w:val="0"/>
                <w:bCs w:val="0"/>
                <w:i w:val="0"/>
                <w:iCs w:val="0"/>
                <w:smallCaps w:val="0"/>
                <w:color w:val="000000"/>
                <w:lang w:val="el" w:eastAsia="el"/>
              </w:rPr>
              <w:t>Θαυμακού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ΚΑΜΕΝΩΝ ΒΟΥΡΛΩΝ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Δημοτική Ενότητα </w:t>
            </w:r>
            <w:r>
              <w:rPr>
                <w:b w:val="0"/>
                <w:bCs w:val="0"/>
                <w:i/>
                <w:iCs/>
                <w:smallCaps w:val="0"/>
                <w:color w:val="000000"/>
                <w:lang w:val="el" w:eastAsia="el"/>
              </w:rPr>
              <w:t xml:space="preserve">Καμένων </w:t>
            </w:r>
            <w:r>
              <w:rPr>
                <w:b w:val="0"/>
                <w:bCs w:val="0"/>
                <w:i w:val="0"/>
                <w:iCs w:val="0"/>
                <w:smallCaps w:val="0"/>
                <w:color w:val="000000"/>
                <w:lang w:val="el" w:eastAsia="el"/>
              </w:rPr>
              <w:t>Βούρλων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Καμένων Βούρλων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ΛΑΜΙΕΩΝ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Λαμιέων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Λαμιέων, Κωσταλέξη, Μεγάλης Βρύσης, Ροδίτσας, Αγίας Παρασκευής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2"/>
        <w:gridCol w:w="2123"/>
        <w:gridCol w:w="5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(Λιμογαρδίου), Κόμματος, και Λυγαριάς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ΛΑΜΙΕΩΝ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Ενότητα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Γοργοποτάμου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Γοργοποτάμου (Αλεποσπίτων), Δαμάστας και Μοσχοχωρίου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ΛΑΜΙΕΩΝ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Ενότητα</w:t>
            </w:r>
          </w:p>
          <w:p>
            <w:pPr>
              <w:spacing w:before="240"/>
              <w:rPr>
                <w:b w:val="0"/>
                <w:bCs w:val="0"/>
                <w:i w:val="0"/>
                <w:iCs w:val="0"/>
                <w:smallCaps w:val="0"/>
                <w:color w:val="000000"/>
                <w:lang w:val="el" w:eastAsia="el"/>
              </w:rPr>
            </w:pPr>
            <w:r>
              <w:rPr>
                <w:b w:val="0"/>
                <w:bCs w:val="0"/>
                <w:i w:val="0"/>
                <w:iCs w:val="0"/>
                <w:smallCaps w:val="0"/>
                <w:color w:val="000000"/>
                <w:lang w:val="el" w:eastAsia="el"/>
              </w:rPr>
              <w:t>Λειανοκλαδίου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Λειανοκλαδίου, Στίρφακας, Αμουρίου και Ζηλευτού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ΛΑΜΙΕΩΝ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Υπάτης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Λουτρών Υπάτης, Μεξιατών και Ροδωνιάς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ΜΑΚΡΑΚΩΜΗΣ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Ενότητα</w:t>
            </w:r>
          </w:p>
          <w:p>
            <w:pPr>
              <w:spacing w:before="240"/>
              <w:rPr>
                <w:b w:val="0"/>
                <w:bCs w:val="0"/>
                <w:i w:val="0"/>
                <w:iCs w:val="0"/>
                <w:smallCaps w:val="0"/>
                <w:color w:val="000000"/>
                <w:lang w:val="el" w:eastAsia="el"/>
              </w:rPr>
            </w:pPr>
            <w:r>
              <w:rPr>
                <w:b w:val="0"/>
                <w:bCs w:val="0"/>
                <w:i w:val="0"/>
                <w:iCs w:val="0"/>
                <w:smallCaps w:val="0"/>
                <w:color w:val="000000"/>
                <w:lang w:val="el" w:eastAsia="el"/>
              </w:rPr>
              <w:t>Σπερχειάδος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Κοινότητα</w:t>
            </w:r>
          </w:p>
          <w:p>
            <w:pPr>
              <w:spacing w:before="240"/>
              <w:rPr>
                <w:b w:val="0"/>
                <w:bCs w:val="0"/>
                <w:i w:val="0"/>
                <w:iCs w:val="0"/>
                <w:smallCaps w:val="0"/>
                <w:color w:val="000000"/>
                <w:lang w:val="el" w:eastAsia="el"/>
              </w:rPr>
            </w:pPr>
            <w:r>
              <w:rPr>
                <w:b w:val="0"/>
                <w:bCs w:val="0"/>
                <w:i w:val="0"/>
                <w:iCs w:val="0"/>
                <w:smallCaps w:val="0"/>
                <w:color w:val="000000"/>
                <w:lang w:val="el" w:eastAsia="el"/>
              </w:rPr>
              <w:t>Σπερχειάδος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ΜΑΚΡΑΚΩΜΗΣ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Μακρακώμης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Κοινότητα Μακρακώμης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Ενότητα Στυλίδος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Δημοτικές Κοινότητες Αγίας Μαρίνης Φθιώτιδος και Στυλίδος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Δημοτική Ενότητα</w:t>
            </w:r>
          </w:p>
          <w:p>
            <w:pPr>
              <w:spacing w:before="240"/>
              <w:rPr>
                <w:b w:val="0"/>
                <w:bCs w:val="0"/>
                <w:i w:val="0"/>
                <w:iCs w:val="0"/>
                <w:smallCaps w:val="0"/>
                <w:color w:val="000000"/>
                <w:lang w:val="el" w:eastAsia="el"/>
              </w:rPr>
            </w:pPr>
            <w:r>
              <w:rPr>
                <w:b w:val="0"/>
                <w:bCs w:val="0"/>
                <w:i w:val="0"/>
                <w:iCs w:val="0"/>
                <w:smallCaps w:val="0"/>
                <w:color w:val="000000"/>
                <w:lang w:val="el" w:eastAsia="el"/>
              </w:rPr>
              <w:t>Πελασγίας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Δημοτικές Κοινότητες Βαθυκοίλου, Γλύφας και</w:t>
            </w:r>
          </w:p>
          <w:p>
            <w:pPr>
              <w:spacing w:before="240"/>
              <w:rPr>
                <w:b w:val="0"/>
                <w:bCs w:val="0"/>
                <w:i w:val="0"/>
                <w:iCs w:val="0"/>
                <w:smallCaps w:val="0"/>
                <w:color w:val="000000"/>
                <w:lang w:val="el" w:eastAsia="el"/>
              </w:rPr>
            </w:pPr>
            <w:r>
              <w:rPr>
                <w:b w:val="0"/>
                <w:bCs w:val="0"/>
                <w:i w:val="0"/>
                <w:iCs w:val="0"/>
                <w:smallCaps w:val="0"/>
                <w:color w:val="000000"/>
                <w:lang w:val="el" w:eastAsia="el"/>
              </w:rPr>
              <w:t>Πελασγίας</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Ιουνίου 2024</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