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77522 ΕΞ 2024</w:t>
      </w:r>
    </w:p>
    <w:p>
      <w:pPr>
        <w:spacing w:before="240" w:after="240"/>
        <w:rPr>
          <w:lang w:val="el" w:eastAsia="el"/>
        </w:rPr>
      </w:pPr>
      <w:r>
        <w:rPr>
          <w:b/>
          <w:bCs/>
          <w:lang w:val="el" w:eastAsia="el"/>
        </w:rPr>
        <w:t>Τροποποίηση της υπό στοιχεία 67360 ΕΞ 2021 κοινής απόφασης των Υπουργών Οικονομικών, Ανάπτυξης και Επενδύσεων και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καθώς και της υπό στοιχεία 40953 ΕΞ 2023 κοινής απόφασης των Υπουργών Οικονομικών, Ανάπτυξης και Επενδύσεων και Εργασίας και Κοινωνικών Υποθέσεων «Τροποποίηση της υπό στοιχεία 67360 ΕΞ 2021 απόφασης των Υπουργών Οικονομικών -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(Β’ 1610).</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ΑΝΑΠΤΥΞΗΣ - ΕΡΓΑΣΙΑΣ ΚΑΙ ΚΟΙΝΩΝΙΚΗΣ ΑΣΦΑΛΙΣΗΣ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υπό στοιχεία 67360 ΕΞ 2021 κοινή απόφαση των Υπουργών Οικονομικών, Ανάπτυξης και Επενδύσεων και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lang w:val="el" w:eastAsia="el"/>
        </w:rPr>
        <w:t>2. Τις παρ. 2 και 5 του άρθρου μόνου της υπό στοιχεία 40953 ΕΞ 2023 κοινής απόφασης των Υπουργών Οικονομικών, Ανάπτυξης και Επενδύσεων, Εργασίας και Κοινωνικών Υποθέσεων «Τροποποίηση της υπό στοιχεία 67360 ΕΞ 2021 απόφασης των Υπουργών Οικονομικών -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(Β’ 1610).</w:t>
      </w:r>
    </w:p>
    <w:p>
      <w:pPr>
        <w:spacing w:before="240" w:after="240"/>
        <w:rPr>
          <w:lang w:val="el" w:eastAsia="el"/>
        </w:rPr>
      </w:pPr>
      <w:r>
        <w:rPr>
          <w:lang w:val="el" w:eastAsia="el"/>
        </w:rPr>
        <w:t>3. Την παρ. 2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4. 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6.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7. Το π.δ. 142/2017 «Οργανισμός Υπουργείου Οικονομικών» (Α’ 181).</w:t>
      </w:r>
    </w:p>
    <w:p>
      <w:pPr>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9. Το π.δ. 5/2022 «Οργανισμός Υπουργείου Ανάπτυξης και Επενδύσεων» (Α’ 15).</w:t>
      </w:r>
    </w:p>
    <w:p>
      <w:pPr>
        <w:spacing w:before="240" w:after="240"/>
        <w:rPr>
          <w:lang w:val="el" w:eastAsia="el"/>
        </w:rPr>
      </w:pPr>
      <w:r>
        <w:rPr>
          <w:lang w:val="el" w:eastAsia="el"/>
        </w:rPr>
        <w:t>10. Το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11. Το π.δ. 79/2023 «Διορισμός Υπουργών, Αναπληρωτών Υπουργών και Υφυπουργών» (Α’ 131).</w:t>
      </w:r>
    </w:p>
    <w:p>
      <w:pPr>
        <w:spacing w:before="240" w:after="240"/>
        <w:rPr>
          <w:lang w:val="el" w:eastAsia="el"/>
        </w:rPr>
      </w:pPr>
      <w:r>
        <w:rPr>
          <w:lang w:val="el" w:eastAsia="el"/>
        </w:rPr>
        <w:t>12. Το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77/2003 (Α’ 130)-Μεταβατικές διατάξεις» (Α’ 139).</w:t>
      </w:r>
    </w:p>
    <w:p>
      <w:pPr>
        <w:spacing w:before="240" w:after="240"/>
        <w:rPr>
          <w:lang w:val="el" w:eastAsia="el"/>
        </w:rPr>
      </w:pPr>
      <w:r>
        <w:rPr>
          <w:lang w:val="el" w:eastAsia="el"/>
        </w:rPr>
        <w:t>13. Το π.δ. 2/2024 «Διορισμός Υπουργών και Υφυπουργών» (Α’ 2).</w:t>
      </w:r>
    </w:p>
    <w:p>
      <w:pPr>
        <w:spacing w:before="240" w:after="240"/>
        <w:rPr>
          <w:lang w:val="el" w:eastAsia="el"/>
        </w:rPr>
      </w:pPr>
      <w:r>
        <w:rPr>
          <w:lang w:val="el" w:eastAsia="el"/>
        </w:rPr>
        <w:t>14.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(ΕΕ)_2018/1972] και άλλες διατάξεις» (Α’ 184).</w:t>
      </w:r>
    </w:p>
    <w:p>
      <w:pPr>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Η παρ. 2 του άρθρου μόνου της υπό στοιχεία 40953 ΕΞ 2023 (Β’ 1610) κοινής απόφασης των Υπουργών Οικονομικών, Ανάπτυξης και Επενδύσεων, Εργασίας και Κοινωνικών Υποθέσεων, με την οποία αντικαταστάθηκε η παρ. 3 του άρθρου 8Α της υπό στοιχεία 67360 ΕΞ 2021 (Β’ 2499) κοινής υπουργικής απόφασης, αντικαθίσταται ολόκληρη ως εξής:</w:t>
      </w:r>
    </w:p>
    <w:p>
      <w:pPr>
        <w:spacing w:before="240" w:after="240"/>
        <w:rPr>
          <w:lang w:val="el" w:eastAsia="el"/>
        </w:rPr>
      </w:pPr>
      <w:r>
        <w:rPr>
          <w:lang w:val="el" w:eastAsia="el"/>
        </w:rPr>
        <w:t>«2. Η παρ. 3 του άρθρου 8A αντικαθίσταται ως εξής: «3. Βασική παράμετρος για την προεξόφληση των ροών της μηνιαίας ικανότητας αποπληρωμής του οφειλέτη και κατ’ επέκταση την εύρεση της τελικής ΜΔΑΧΟ, είναι το προεξοφλητικό επιτόκιο που χρησιμοποιεί η αυτοματοποιημένη λύση και υπολογίζεται σύμφωνα με την περ. β) της παρ. 2 του άρθρου 8Δ.».</w:t>
      </w:r>
    </w:p>
    <w:p>
      <w:pPr>
        <w:spacing w:before="240" w:after="240"/>
        <w:rPr>
          <w:lang w:val="el" w:eastAsia="el"/>
        </w:rPr>
      </w:pPr>
      <w:r>
        <w:rPr>
          <w:lang w:val="el" w:eastAsia="el"/>
        </w:rPr>
        <w:t>2. Η παρ. 7 του άρθρου 8Α της υπό στοιχεία 67360 ΕΞ 2021 κοινής απόφασης των Υπουργών Οικονομικών - Ανάπτυξης και Επενδύσεων - Εργασίας και Κοινωνικών Υποθέσεων (Β’ 2499), αντικαθίσταται ως εξής:</w:t>
      </w:r>
    </w:p>
    <w:p>
      <w:pPr>
        <w:spacing w:before="240" w:after="240"/>
        <w:rPr>
          <w:lang w:val="el" w:eastAsia="el"/>
        </w:rPr>
      </w:pPr>
      <w:r>
        <w:rPr>
          <w:lang w:val="el" w:eastAsia="el"/>
        </w:rPr>
        <w:t>«7 . Ο υπολογισμός της ΚΠΑ της ΜΔΑΧΟ Νομικού Προσώπου γίνεται μέσω των φορολογικών στοιχείων του ως εξής:</w:t>
      </w:r>
    </w:p>
    <w:p>
      <w:pPr>
        <w:spacing w:before="240" w:after="240"/>
        <w:rPr>
          <w:lang w:val="el" w:eastAsia="el"/>
        </w:rPr>
      </w:pPr>
      <w:r>
        <w:rPr>
          <w:lang w:val="el" w:eastAsia="el"/>
        </w:rPr>
        <w:t>Για τον υπολογισμό του διαθέσιμου ετήσιου εισοδήματος οφειλέτη νομικού προσώπου βάσει φορολογικών στοιχείων ακολουθείται η παρακάτω μεθοδολογία:</w:t>
      </w:r>
    </w:p>
    <w:p>
      <w:pPr>
        <w:spacing w:before="240" w:after="240"/>
        <w:rPr>
          <w:lang w:val="el" w:eastAsia="el"/>
        </w:rPr>
      </w:pPr>
      <w:r>
        <w:rPr>
          <w:lang w:val="el" w:eastAsia="el"/>
        </w:rPr>
        <w:t>1) Από τα «κέρδη/ζημιές» του νομικού προσώπου, όπως αυτά προκύπτουν από το έντυπο Ν, αφαιρείται:</w:t>
      </w:r>
    </w:p>
    <w:p>
      <w:pPr>
        <w:spacing w:before="240" w:after="240"/>
        <w:rPr>
          <w:lang w:val="el" w:eastAsia="el"/>
        </w:rPr>
      </w:pPr>
      <w:r>
        <w:rPr>
          <w:lang w:val="el" w:eastAsia="el"/>
        </w:rPr>
        <w:t>- Ο ενιαίος φόρος ιδιοκτησίας ακινήτων (ΕΝΦΙΑ) εφόσον υφίσταται και προστίθενται:</w:t>
      </w:r>
    </w:p>
    <w:p>
      <w:pPr>
        <w:spacing w:before="240" w:after="240"/>
        <w:rPr>
          <w:lang w:val="el" w:eastAsia="el"/>
        </w:rPr>
      </w:pPr>
      <w:r>
        <w:rPr>
          <w:lang w:val="el" w:eastAsia="el"/>
        </w:rPr>
        <w:t>- Οι «χρεωστικοί τόκοι και τα συναφή έξοδα» εφόσον υφίστανται.</w:t>
      </w:r>
    </w:p>
    <w:p>
      <w:pPr>
        <w:spacing w:before="240" w:after="240"/>
        <w:rPr>
          <w:lang w:val="el" w:eastAsia="el"/>
        </w:rPr>
      </w:pPr>
      <w:r>
        <w:rPr>
          <w:lang w:val="el" w:eastAsia="el"/>
        </w:rPr>
        <w:t>2) Το σύνολο του ποσού που προκύπτει μετά την προσθαφαίρεση των παραπάνω από τα καθαρά κέρδη του νομικού προσώπου (εάν το ποσό αυτό είναι αρνητικό θεωρείται ίσο με το μηδέν), θεωρείται ότι είναι το ετήσιο ποσό, βάσει φορολογικών στοιχείων, που δύναται να διατεθεί για την εξυπηρέτηση των οφειλών του νομικού προσώπου.</w:t>
      </w:r>
    </w:p>
    <w:p>
      <w:pPr>
        <w:spacing w:before="240" w:after="240"/>
        <w:rPr>
          <w:lang w:val="el" w:eastAsia="el"/>
        </w:rPr>
      </w:pPr>
      <w:r>
        <w:rPr>
          <w:lang w:val="el" w:eastAsia="el"/>
        </w:rPr>
        <w:t>3) Για τον υπολογισμό του διαθέσιμου ετήσιου εισοδήματος εξετάζονται τα έντυπα Ν και Ε3 των τελευταίων τριών (3) ετών και πραγματοποιούνται οι υπολογισμοί των δόσεων ανά έτος βάσει των παρ. 2 και 5 του άρθρου 8Α της υπό στοιχεία 67360 ΕΞ 2021 (Β’ 2499) κοινής υπουργικής απόφασης. Όσον αφορά στον ενιαίο φόρο ιδιοκτησίας ακινήτων (ΕΝΦΙΑ) και στους «χρεωστικούς τόκους και συναφή έξοδα», λαμβάνονται υπόψη τα στοιχεία του τελευταίου έτους.</w:t>
      </w:r>
    </w:p>
    <w:p>
      <w:pPr>
        <w:spacing w:before="240" w:after="240"/>
        <w:rPr>
          <w:lang w:val="el" w:eastAsia="el"/>
        </w:rPr>
      </w:pPr>
      <w:r>
        <w:rPr>
          <w:lang w:val="el" w:eastAsia="el"/>
        </w:rPr>
        <w:t>4) Σε περίπτωση που το ανωτέρω ποσό είναι μικρότερο του ποσοστού 10% επί του κύκλου εργασιών, τότε το διαθέσιμο ετήσιο εισόδημα αναπροσαρμόζεται στο εν λόγω ποσοστό.</w:t>
      </w:r>
    </w:p>
    <w:p>
      <w:pPr>
        <w:spacing w:before="240" w:after="240"/>
        <w:rPr>
          <w:lang w:val="el" w:eastAsia="el"/>
        </w:rPr>
      </w:pPr>
      <w:r>
        <w:rPr>
          <w:lang w:val="el" w:eastAsia="el"/>
        </w:rPr>
        <w:t>5) Στο ανωτέρω ετήσιο εισόδημα προστίθενται και επιμερίζονται σε κάθε έτος για την «τυπική διάρκεια της σύμβασης αναδιάρθρωσης» (δηλ. όχι ως προκαταβολή):</w:t>
      </w:r>
    </w:p>
    <w:p>
      <w:pPr>
        <w:spacing w:before="240" w:after="240"/>
        <w:rPr>
          <w:lang w:val="el" w:eastAsia="el"/>
        </w:rPr>
      </w:pPr>
      <w:r>
        <w:rPr>
          <w:lang w:val="el" w:eastAsia="el"/>
        </w:rPr>
        <w:t>- Το 95% των καταθέσεων. Εφόσον από τον ανωτέρω υπολογισμό δεν προκύπτει διαθέσιμο ποσό καταθέσεων, το σχετικό πεδίο λαμβάνει μηδενική τιμή.</w:t>
      </w:r>
    </w:p>
    <w:p>
      <w:pPr>
        <w:spacing w:before="240" w:after="240"/>
        <w:rPr>
          <w:lang w:val="el" w:eastAsia="el"/>
        </w:rPr>
      </w:pPr>
      <w:r>
        <w:rPr>
          <w:lang w:val="el" w:eastAsia="el"/>
        </w:rPr>
        <w:t>- Τα επενδυτικά προϊόντα.</w:t>
      </w:r>
    </w:p>
    <w:p>
      <w:pPr>
        <w:spacing w:before="240" w:after="240"/>
        <w:rPr>
          <w:lang w:val="el" w:eastAsia="el"/>
        </w:rPr>
      </w:pPr>
      <w:r>
        <w:rPr>
          <w:lang w:val="el" w:eastAsia="el"/>
        </w:rPr>
        <w:t>Ο τελικός υπολογισμός της ΚΠΑ της ΜΔΑΧΟ Νομικού Προσώπου που προκύπτει από το άθροισμα της ΚΠΑ Ποσού Ταμειακών Διαθεσίμων και επενδυτικών προϊόντων και της ΚΠΑ του Εισοδήματος του οφειλέτη (Βήμα 2) ως εξής:</w:t>
      </w:r>
    </w:p>
    <w:p>
      <w:pPr>
        <w:spacing w:before="240" w:after="240"/>
        <w:rPr>
          <w:lang w:val="el" w:eastAsia="el"/>
        </w:rPr>
      </w:pPr>
      <w:r>
        <w:rPr>
          <w:i/>
          <w:iCs/>
          <w:lang w:val="el" w:eastAsia="el"/>
        </w:rPr>
        <w:t>ΚΠΑ ΜΔΑΧΟ</w:t>
      </w:r>
      <w:r>
        <w:rPr>
          <w:lang w:val="el" w:eastAsia="el"/>
        </w:rPr>
        <w:t xml:space="preserve"> = </w:t>
      </w:r>
      <w:r>
        <w:rPr>
          <w:i/>
          <w:iCs/>
          <w:lang w:val="el" w:eastAsia="el"/>
        </w:rPr>
        <w:t>ΚΠΑ [95%Καταθέσεων</w:t>
      </w:r>
      <w:r>
        <w:rPr>
          <w:lang w:val="el" w:eastAsia="el"/>
        </w:rPr>
        <w:t xml:space="preserve"> + Επενδυτικών Προϊόντων]</w:t>
      </w:r>
    </w:p>
    <w:p>
      <w:pPr>
        <w:spacing w:before="240" w:after="240"/>
        <w:rPr>
          <w:lang w:val="el" w:eastAsia="el"/>
        </w:rPr>
      </w:pPr>
      <w:r>
        <w:rPr>
          <w:lang w:val="el" w:eastAsia="el"/>
        </w:rPr>
        <w:t xml:space="preserve">+^ </w:t>
      </w:r>
      <w:r>
        <w:rPr>
          <w:i/>
          <w:iCs/>
          <w:lang w:val="el" w:eastAsia="el"/>
        </w:rPr>
        <w:t>ΚΠΑ</w:t>
      </w:r>
      <w:r>
        <w:rPr>
          <w:lang w:val="el" w:eastAsia="el"/>
        </w:rPr>
        <w:t xml:space="preserve"> [Διαθέσιμο </w:t>
      </w:r>
      <w:r>
        <w:rPr>
          <w:i/>
          <w:iCs/>
          <w:lang w:val="el" w:eastAsia="el"/>
        </w:rPr>
        <w:t>Εισόδημα οφείλέτη^</w:t>
      </w:r>
      <w:r>
        <w:rPr>
          <w:i/>
          <w:iCs/>
          <w:sz w:val="30"/>
          <w:szCs w:val="30"/>
          <w:vertAlign w:val="subscript"/>
          <w:lang w:val="el" w:eastAsia="el"/>
        </w:rPr>
        <w:t>τ</w:t>
      </w:r>
      <w:r>
        <w:rPr>
          <w:i/>
          <w:iCs/>
          <w:lang w:val="el" w:eastAsia="el"/>
        </w:rPr>
        <w:t>ος</w:t>
      </w:r>
    </w:p>
    <w:p>
      <w:pPr>
        <w:spacing w:before="240" w:after="240"/>
        <w:rPr>
          <w:lang w:val="el" w:eastAsia="el"/>
        </w:rPr>
      </w:pPr>
      <w:r>
        <w:rPr>
          <w:i/>
          <w:iCs/>
          <w:lang w:val="el" w:eastAsia="el"/>
        </w:rPr>
        <w:t>]έτος=1</w:t>
      </w:r>
    </w:p>
    <w:p>
      <w:pPr>
        <w:spacing w:before="240" w:after="240"/>
        <w:rPr>
          <w:lang w:val="el" w:eastAsia="el"/>
        </w:rPr>
      </w:pPr>
      <w:r>
        <w:rPr>
          <w:lang w:val="el" w:eastAsia="el"/>
        </w:rPr>
        <w:t>3. Η παρ. 5 του άρθρου μόνου της υπό στοιχεία 40953 ΕΞ 2023 (Β’ 1610) κοινής απόφασης των Υπουργών Οικονομικών, Ανάπτυξης και Επενδύσεων, Εργασίας και Κοινωνικών Υποθέσεων, με την οποία αντικαταστάθηκε η περ. β) της παρ. 2 του άρθρου 8Δ της υπό στοιχεία 67360 ΕΞ 2021 (Β’ 2499) κοινής υπουργικής απόφασης, αντικαθίσταται ολόκληρη ως εξής:</w:t>
      </w:r>
    </w:p>
    <w:p>
      <w:pPr>
        <w:spacing w:before="240" w:after="240"/>
        <w:rPr>
          <w:lang w:val="el" w:eastAsia="el"/>
        </w:rPr>
      </w:pPr>
      <w:r>
        <w:rPr>
          <w:lang w:val="el" w:eastAsia="el"/>
        </w:rPr>
        <w:t>«5. Η περ. β) της παρ. 2 του άρθρου 8Δ αντικαθίσταται ως εξής:</w:t>
      </w:r>
    </w:p>
    <w:p>
      <w:pPr>
        <w:spacing w:before="240" w:after="240"/>
        <w:rPr>
          <w:lang w:val="el" w:eastAsia="el"/>
        </w:rPr>
      </w:pPr>
      <w:r>
        <w:rPr>
          <w:lang w:val="el" w:eastAsia="el"/>
        </w:rPr>
        <w:t>«β) Το επιτόκιο ρύθμισης που χρησιμοποιεί η αυτοματοποιημένη λύση εξαρτάται από το είδος της οφειλής:</w:t>
      </w:r>
    </w:p>
    <w:p>
      <w:pPr>
        <w:spacing w:before="240" w:after="240"/>
        <w:rPr>
          <w:lang w:val="el" w:eastAsia="el"/>
        </w:rPr>
      </w:pPr>
      <w:r>
        <w:rPr>
          <w:lang w:val="el" w:eastAsia="el"/>
        </w:rPr>
        <w:t>i) Για τις οφειλές προς το Δημόσιο και τους Φορείς Κοινωνικής Ασφάλισης λαμβάνεται υπόψη επιτόκιο ίσο με το οριζόμενο στην παρ. 2 του άρθρου μόνου της υπό στοιχεία 40992 ΕΞ 2023 (Β’ 1610) κοινής υπουργικής απόφασης,</w:t>
      </w:r>
    </w:p>
    <w:p>
      <w:pPr>
        <w:spacing w:before="240" w:after="240"/>
        <w:rPr>
          <w:lang w:val="el" w:eastAsia="el"/>
        </w:rPr>
      </w:pPr>
      <w:r>
        <w:rPr>
          <w:lang w:val="el" w:eastAsia="el"/>
        </w:rPr>
        <w:t>ii) για τους χρηματοδοτικούς φορείς λαμβάνεται υπόψη επιτόκιο ίσο με το οριζόμενο στο σημείο (ιθ) του Παραρτήματος «Αναλυτικές Παράμετροι Μεθοδολογίας υπολογισμού αυτοματοποιημένης λύσης εξωδικαστικού μηχανισμού ρύθμισης οφειλών (Αντιπρόταση Πιστωτών)», όπως προσαρτάται στην υπό στοιχεία 13243 ΕΞ 2024 (Β’ 560) κοινή υπουργική απόφαση.</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ΧΑΤΖΗΔΑΚΗΣ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ΔΟΜΝΑ-ΜΑΡΙΑ ΜΙΧΑΗΛΙΔΟΥ</w:t>
      </w:r>
    </w:p>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