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Α.1089</w:t>
      </w:r>
    </w:p>
    <w:p>
      <w:pPr>
        <w:pStyle w:val="PreambelText"/>
        <w:spacing w:before="240" w:after="240"/>
        <w:rPr>
          <w:lang w:val="el" w:eastAsia="el"/>
        </w:rPr>
      </w:pPr>
      <w:r>
        <w:rPr>
          <w:b/>
          <w:bCs/>
          <w:lang w:val="el" w:eastAsia="el"/>
        </w:rPr>
        <w:t>Τροποποίηση της υπό στοιχεία ΠΟΛ. 1137/ 12.9.2017 (Β’ 3293) απόφασης του Διοικητή της Α.Α.Δ.Ε. για τον καθορισμό των καταλόγων σχετικά με τις Δηλωτέες Δικαιοδοσίες, δυνάμει του τρίτου εδαφίου της παρ. 4 του άρθρου πέμπτου του ν. 4428/2016 (Α’ 190) και σχετικά με τις Συμμετέχουσες Δικαιοδοσίες, δυνάμει του ίδιου άρθρου και της περ. β’ της παρ. 5 του άρθρου 9 του ν. 4170/2013 (Α’ 163), έναντι της Ελλάδας.</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τρίτου εδαφίου της περ. β’ της παρ. 5 του άρθρου 9 του ν. 4170/2013 (Α’ 163) «Ενσωμάτωση της Οδηγίας 2011/16/ΕΕ, ρύθμιση θεμάτων της ΕΛ.Τ.Ε., αναμόρφωση Οργανισμού του Ν.Σ.Κ.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τρίτου εδαφίου της παρ. 4 του άρθρου πέμπτου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(Α’ 190),</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Παραρτήματος Ι, Τμήμα Vlll, Ενότητα Δ’ παρ. 5 περ. β’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 4515/2018 (Α’ 18) και ν. 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 ε) του ν. 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lang w:val="el" w:eastAsia="el"/>
        </w:rPr>
        <w:t>στ)</w:t>
      </w:r>
      <w:r>
        <w:rPr>
          <w:lang w:val="en" w:eastAsia="en"/>
        </w:rPr>
        <w:tab/>
      </w:r>
      <w:r>
        <w:rPr>
          <w:lang w:val="el" w:eastAsia="el"/>
        </w:rPr>
        <w:t>του ν. 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lang w:val="el" w:eastAsia="el"/>
        </w:rPr>
        <w:t>ζ)</w:t>
      </w:r>
      <w:r>
        <w:rPr>
          <w:lang w:val="en" w:eastAsia="en"/>
        </w:rPr>
        <w:tab/>
      </w:r>
      <w:r>
        <w:rPr>
          <w:lang w:val="el" w:eastAsia="el"/>
        </w:rPr>
        <w:t>του ν. 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παρ. 5 περ. β’,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lang w:val="el" w:eastAsia="el"/>
        </w:rPr>
        <w:t>η)</w:t>
      </w:r>
      <w:r>
        <w:rPr>
          <w:lang w:val="en" w:eastAsia="en"/>
        </w:rPr>
        <w:tab/>
      </w:r>
      <w:r>
        <w:rPr>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lang w:val="el" w:eastAsia="el"/>
        </w:rPr>
        <w:t>θ)</w:t>
      </w:r>
      <w:r>
        <w:rPr>
          <w:lang w:val="en" w:eastAsia="en"/>
        </w:rPr>
        <w:tab/>
      </w:r>
      <w:r>
        <w:rPr>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lang w:val="el" w:eastAsia="el"/>
        </w:rPr>
        <w:t>ι)</w:t>
      </w:r>
      <w:r>
        <w:rPr>
          <w:lang w:val="en" w:eastAsia="en"/>
        </w:rPr>
        <w:tab/>
      </w:r>
      <w:r>
        <w:rPr>
          <w:lang w:val="el" w:eastAsia="el"/>
        </w:rPr>
        <w:t>της υπό στοιχεία Δ. ΟΡΓ. 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ΠΟΛ. 1137/12.9.2017 απόφαση του Διοικητή της Α.Α.Δ.Ε. «Καθορισμός των καταλόγων σχετικά με τις Δηλωτέες Δικαιοδοσίες, δυνάμει του άρθρου πέμπτου παρ. 4 τρίτο εδάφιο του ν. 4428/2016 (Α’ 190) και με τις Συμμετέχουσες Δικαιοδοσίες, δυνάμει του ίδιου άρθρου και του άρθρου 9 παρ. 5 περ. β’ τρίτο εδάφιο του ν. 4170/2013 (Α’ 163), έναντι της Ελλάδας» (Β’ 3293).</w:t>
      </w:r>
    </w:p>
    <w:p>
      <w:pPr>
        <w:pStyle w:val="PreambelText"/>
        <w:spacing w:before="240" w:after="240"/>
        <w:rPr>
          <w:lang w:val="el" w:eastAsia="el"/>
        </w:rPr>
      </w:pPr>
      <w:r>
        <w:rPr>
          <w:lang w:val="el" w:eastAsia="el"/>
        </w:rPr>
        <w:t>3. Την υπό στοιχεία ΠΟΛ. 1135/29.8.2017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 4428/2016» (Β’ 3053).</w:t>
      </w:r>
    </w:p>
    <w:p>
      <w:pPr>
        <w:pStyle w:val="PreambelText"/>
        <w:spacing w:before="240" w:after="240"/>
        <w:rPr>
          <w:lang w:val="el" w:eastAsia="el"/>
        </w:rPr>
      </w:pPr>
      <w:r>
        <w:rPr>
          <w:lang w:val="el" w:eastAsia="el"/>
        </w:rPr>
        <w:t>4. Τον από 13.9.2023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pStyle w:val="PreambelText"/>
        <w:spacing w:before="240" w:after="240"/>
        <w:rPr>
          <w:lang w:val="el" w:eastAsia="el"/>
        </w:rPr>
      </w:pPr>
      <w:r>
        <w:rPr>
          <w:lang w:val="el" w:eastAsia="el"/>
        </w:rPr>
        <w:t>5. Τον από 23.4.2024 κατάλογο του Ο.Ο.Σ.Α. με τις δικαιοδοσίες που έχουν δεσμευθεί για την αυτόματη ανταλλαγή πληροφοριών βάσει του Κοινού Προτύπου Αναφοράς, (εφεξής ΚΠΑ) με αναφορά στη δέσμευσή τους ως προς το έτος πρώτης ανταλλαγής πληροφοριών και τον από 16.5.2024 κατάλογο του Ο.Ο.Σ.Α. με τις δικαιοδοσίες που έχουν υπογράψει την Πολυμερή Συμφωνία Αρμόδιων Αρχών (εφεξής ΠΣΑΑ).</w:t>
      </w:r>
    </w:p>
    <w:p>
      <w:pPr>
        <w:pStyle w:val="PreambelText"/>
        <w:spacing w:before="240" w:after="240"/>
        <w:rPr>
          <w:lang w:val="el" w:eastAsia="el"/>
        </w:rPr>
      </w:pPr>
      <w:r>
        <w:rPr>
          <w:lang w:val="el" w:eastAsia="el"/>
        </w:rPr>
        <w:t>6. Τον τρέχοντα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22.5.2024.</w:t>
      </w:r>
    </w:p>
    <w:p>
      <w:pPr>
        <w:pStyle w:val="PreambelText"/>
        <w:spacing w:before="240" w:after="240"/>
        <w:rPr>
          <w:lang w:val="el" w:eastAsia="el"/>
        </w:rPr>
      </w:pPr>
      <w:r>
        <w:rPr>
          <w:lang w:val="el" w:eastAsia="el"/>
        </w:rPr>
        <w:t>7. Τις Γνωστοποιήσεις του Τμήματος 7 παρ. 1 περ. β’ της ΠΣΑΑ των δικαιοδοσιών, όπως έχουν υποβληθεί στη Γραμματεία Συντονιστικού Οργάνου της Σύμβασης και γνωστοποιηθεί στην αρμόδια αρχή της Ελληνικής Δημοκρατίας έως και 22.5.2024, σύμφωνα με τις οποίες οι εν λόγω δικαιοδοσίες δεν θα λαμβάνουν τις πληροφορίες του Τμήματος 2 παρ. 2 της ΠΣΑΑ.</w:t>
      </w:r>
    </w:p>
    <w:p>
      <w:pPr>
        <w:pStyle w:val="PreambelText"/>
        <w:spacing w:before="240" w:after="240"/>
        <w:rPr>
          <w:lang w:val="el" w:eastAsia="el"/>
        </w:rPr>
      </w:pPr>
      <w:r>
        <w:rPr>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 4153/2013 (Α’ 116), και τις αντίστοιχες Δηλώσεις άλλων Δικαιοδοσιών που δημοσιεύθηκαν στην ιστοσελίδα του Συμβουλίου της Ευρώπης έως και 15.5.2023.</w:t>
      </w:r>
    </w:p>
    <w:p>
      <w:pPr>
        <w:pStyle w:val="PreambelText"/>
        <w:spacing w:before="240" w:after="240"/>
        <w:rPr>
          <w:lang w:val="el" w:eastAsia="el"/>
        </w:rPr>
      </w:pPr>
      <w:r>
        <w:rPr>
          <w:lang w:val="el" w:eastAsia="el"/>
        </w:rPr>
        <w:t>9. Τα Σχόλια του Ο.Ο.Σ.Α. επί του ΚΠΑ όπως εγκρίθηκαν από το Συμβούλιο του Ο.Ο.Σ.Α. στις 15 Ιουλίου 2014 και ισχύουν.</w:t>
      </w:r>
    </w:p>
    <w:p>
      <w:pPr>
        <w:pStyle w:val="PreambelText"/>
        <w:spacing w:before="240" w:after="240"/>
        <w:rPr>
          <w:lang w:val="el" w:eastAsia="el"/>
        </w:rPr>
      </w:pPr>
      <w:r>
        <w:rPr>
          <w:lang w:val="el" w:eastAsia="el"/>
        </w:rPr>
        <w:t>10.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αποφάσεις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11. Την εισήγηση της Διεύθυνσης Διεθνών Φορολογικών Σχέσεων της Γενικής Διεύθυνσης Φορολογίας της Α.Α.Δ.Ε. ως αρμόδιας αρχής, σύμφωνα με τις διατάξεις της παρ. 1 του άρθρου 5 και της περ. β’ της παρ. 1 του άρθρου 9 του ν. 4170/2013, και τις διατάξεις των παρ. 1 και 2 του άρθρου δεύτερου του ν. 4428/2016.</w:t>
      </w:r>
    </w:p>
    <w:p>
      <w:pPr>
        <w:pStyle w:val="PreambelText"/>
        <w:spacing w:before="240" w:after="240"/>
        <w:rPr>
          <w:lang w:val="el" w:eastAsia="el"/>
        </w:rPr>
      </w:pPr>
      <w:r>
        <w:rPr>
          <w:lang w:val="el" w:eastAsia="el"/>
        </w:rPr>
        <w:t>12.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2024 αναφορικά με πληροφορίες του έτους 2023 και του έτους 2022, αναλόγως της περίπτωσης, να τροποποιηθεί ο κατάλογος Συμμετεχουσών Δικαιοδοσιών για το έτος 2023 και να προσδιοριστεί ο αντίστοιχος κατάλογος για το έτος 2024, για την ομαλή και απρόσκοπτη συνέχιση της εφαρμογής του πλαισίου της αυτόματης ανταλλαγής πληροφοριών χρηματοοικονομικών λογαριασμών.</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υπό στοιχεία ΠΟΛ. 1137/12.9.2017 απόφαση του Διοικητή της Α.Α.Δ.Ε. ως ακολούθως:</w:t>
      </w:r>
    </w:p>
    <w:p>
      <w:pPr>
        <w:pStyle w:val="MainText"/>
        <w:spacing w:before="120" w:after="0"/>
        <w:rPr>
          <w:lang w:val="el" w:eastAsia="el"/>
        </w:rPr>
      </w:pPr>
      <w:r>
        <w:rPr>
          <w:b/>
          <w:bCs/>
          <w:lang w:val="el" w:eastAsia="el"/>
        </w:rPr>
        <w:t>1.</w:t>
      </w:r>
      <w:r>
        <w:rPr>
          <w:lang w:val="el" w:eastAsia="el"/>
        </w:rPr>
        <w:t xml:space="preserve"> Στο άρθρο 1, προστίθεται παρ. 8 ως εξής:</w:t>
      </w:r>
    </w:p>
    <w:p>
      <w:pPr>
        <w:spacing w:before="240" w:after="240"/>
        <w:rPr>
          <w:lang w:val="el" w:eastAsia="el"/>
        </w:rPr>
      </w:pPr>
      <w:r>
        <w:rPr>
          <w:lang w:val="el" w:eastAsia="el"/>
        </w:rPr>
        <w:t>«8. Για την αυτόματη ανταλλαγή πληροφοριών χρηματοοικονομικών λογαριασμών που διενεργείται κατά το έτος 2024, ως Δηλωτέες Δικαιοδοσίες έναντι της Ελλάδας, κατά την έννοια του ορισμού του άρθρου τρίτου, Παράρτημα Ι, Τμήμα VIII Ενότητα Δ’ παρ. 4 του ν. 4428/2016, αναφορικά με πληροφορίες του έτους 2023, λογίζονται οι Δικαιοδοσίες των παρ. 1, 2, 3, 4, 5, 6 και 7, πλην της Αντίγκουα και Μπαρμπούντα, με την προσθήκη των ακόλουθων Δικαιοδοσιών αναφορικά με πληροφορίες του έτους 2023 και του έτους 2022,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899"/>
        <w:gridCol w:w="1947"/>
        <w:gridCol w:w="1911"/>
        <w:gridCol w:w="1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Αναφορικά με πληροφορίες έτους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lang w:val="el" w:eastAsia="el"/>
        </w:rPr>
        <w:t>* Η εν λόγω Δικαιοδοσία λογίζεται ως Δηλωτέα Δικαιοδοσία εφόσον η ΠΣΑΑ τεθεί σε ισχύ και εφαρμογή έναντι της Ελλάδας.</w:t>
      </w:r>
    </w:p>
    <w:p>
      <w:pPr>
        <w:spacing w:before="240" w:after="240"/>
        <w:rPr>
          <w:lang w:val="el" w:eastAsia="el"/>
        </w:rPr>
      </w:pPr>
      <w:r>
        <w:rPr>
          <w:lang w:val="el" w:eastAsia="el"/>
        </w:rPr>
        <w:t>Στην περίπτωση της Δικαιοδοσίας της παρ. 5 με α/α 1, αυτή λογίζεται ως Δηλωτέα Δικαιοδοσία έναντι της Ελλάδας, για την αυτόματη ανταλλαγή πληροφοριών χρηματοοικονομικών λογαριασμών που διενεργείται κατά το έτος 2024, αναφορικά με πληροφορίες του έτους 2023 και 2022.»</w:t>
      </w:r>
    </w:p>
    <w:p>
      <w:pPr>
        <w:pStyle w:val="MainText"/>
        <w:spacing w:before="120" w:after="0"/>
        <w:rPr>
          <w:lang w:val="el" w:eastAsia="el"/>
        </w:rPr>
      </w:pPr>
      <w:r>
        <w:rPr>
          <w:b/>
          <w:bCs/>
          <w:lang w:val="el" w:eastAsia="el"/>
        </w:rPr>
        <w:t>2.</w:t>
      </w:r>
      <w:r>
        <w:rPr>
          <w:lang w:val="el" w:eastAsia="el"/>
        </w:rPr>
        <w:t xml:space="preserve"> Στην περίπτωση της Δικαιοδοσίας της παρ. 4 του άρθρου 1 με α/α 2 και του σημείου Δ’ του άρθρου 2 με α/α 5, η λέξη “Turkey” αντικαθίσταται με τη λέξη “Türkiye”.</w:t>
      </w:r>
    </w:p>
    <w:p>
      <w:pPr>
        <w:spacing w:before="240" w:after="240"/>
        <w:rPr>
          <w:lang w:val="el" w:eastAsia="el"/>
        </w:rPr>
      </w:pPr>
      <w:r>
        <w:rPr>
          <w:lang w:val="el" w:eastAsia="el"/>
        </w:rPr>
        <w:t>α. Το σημείο Η’ του άρθρου 2, αντικαθίσταται ως εξής:</w:t>
      </w:r>
    </w:p>
    <w:p>
      <w:pPr>
        <w:spacing w:before="240" w:after="240"/>
        <w:rPr>
          <w:lang w:val="el" w:eastAsia="el"/>
        </w:rPr>
      </w:pPr>
      <w:r>
        <w:rPr>
          <w:lang w:val="el" w:eastAsia="el"/>
        </w:rPr>
        <w:t>«Η. Για την εφαρμογή των κανόνων υποβολής στοιχείων και δέουσας επιμέλειας αναφορικά με το έτος 2023:</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Ε’, ΣΤ’ και Ζ’ του παρόντος άρθρου και προστίθενται οι ακόλουθες Δικαιοδοσίες:</w:t>
      </w:r>
    </w:p>
    <w:p>
      <w:pPr>
        <w:spacing w:before="240" w:after="240"/>
        <w:rPr>
          <w:lang w:val="el" w:eastAsia="el"/>
        </w:rPr>
      </w:pPr>
      <w:r>
        <w:rPr>
          <w:lang w:val="el" w:eastAsia="el"/>
        </w:rPr>
        <w:t>Πίνακας 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376"/>
        <w:gridCol w:w="4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Thailand</w:t>
            </w:r>
          </w:p>
        </w:tc>
      </w:tr>
    </w:tbl>
    <w:p>
      <w:pPr>
        <w:spacing w:before="240" w:after="240"/>
        <w:rPr>
          <w:lang w:val="el" w:eastAsia="el"/>
        </w:rPr>
      </w:pPr>
      <w:r>
        <w:rPr>
          <w:lang w:val="el" w:eastAsia="el"/>
        </w:rPr>
        <w:t>Οι Συμμετέχουσες Δικαιοδοσίες, όπως ορίζονται στο σημείο H’ του παρόντος άρθρου, λαμβάνονται υπόψη για την εφαρμογή των κανόνων υποβολής στοιχείων και δέουσας επιμέλειας από την 1η Ιανουαρίου 2023.»</w:t>
      </w:r>
    </w:p>
    <w:p>
      <w:pPr>
        <w:spacing w:before="240" w:after="240"/>
        <w:rPr>
          <w:lang w:val="el" w:eastAsia="el"/>
        </w:rPr>
      </w:pPr>
      <w:r>
        <w:rPr>
          <w:lang w:val="el" w:eastAsia="el"/>
        </w:rPr>
        <w:t>β. Μετά το σημείο H’ του άρθρου 2, προστίθεται σημείο Θ’ ως εξής:</w:t>
      </w:r>
    </w:p>
    <w:p>
      <w:pPr>
        <w:spacing w:before="240" w:after="240"/>
        <w:rPr>
          <w:lang w:val="el" w:eastAsia="el"/>
        </w:rPr>
      </w:pPr>
      <w:r>
        <w:rPr>
          <w:lang w:val="el" w:eastAsia="el"/>
        </w:rPr>
        <w:t>«Θ. Για την εφαρμογή των κανόνων υποβολής στοιχείων και δέουσας επιμέλειας αναφορικά με το έτος 2024:</w:t>
      </w:r>
    </w:p>
    <w:p>
      <w:pPr>
        <w:spacing w:before="240" w:after="240"/>
        <w:rPr>
          <w:lang w:val="el" w:eastAsia="el"/>
        </w:rPr>
      </w:pPr>
      <w:r>
        <w:rPr>
          <w:lang w:val="el" w:eastAsia="el"/>
        </w:rPr>
        <w:t>Συμμετέχουσες Δικαιοδοσίες είναι όλες οι Δικαιοδοσίες που περιλαμβάνονται στους Πίνακες Α’, Β’, Γ’, Δ’, Ε’, ΣΤ’, Ζ’ και Η’ του παρόντος άρθρου και προστίθεται η ακόλουθη Δικαιοδοσία:</w:t>
      </w:r>
    </w:p>
    <w:p>
      <w:pPr>
        <w:spacing w:before="240" w:after="240"/>
        <w:rPr>
          <w:lang w:val="el" w:eastAsia="el"/>
        </w:rPr>
      </w:pPr>
      <w:r>
        <w:rPr>
          <w:lang w:val="el" w:eastAsia="el"/>
        </w:rPr>
        <w:t>Πίνακας 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5"/>
        <w:gridCol w:w="4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r>
    </w:tbl>
    <w:p>
      <w:pPr>
        <w:spacing w:before="240" w:after="240"/>
        <w:rPr>
          <w:lang w:val="el" w:eastAsia="el"/>
        </w:rPr>
      </w:pPr>
      <w:r>
        <w:rPr>
          <w:lang w:val="el" w:eastAsia="el"/>
        </w:rPr>
        <w:t>* Η εν λόγω Δικαιοδοσία λογίζεται ως Συμμετέχουσα Δικαιοδοσία εφόσον η ΠΣΑΑ τεθεί σε ισχύ και εφαρμογή έναντι της Ελλάδας.</w:t>
      </w:r>
    </w:p>
    <w:p>
      <w:pPr>
        <w:spacing w:before="240" w:after="240"/>
        <w:rPr>
          <w:lang w:val="el" w:eastAsia="el"/>
        </w:rPr>
      </w:pPr>
      <w:r>
        <w:rPr>
          <w:lang w:val="el" w:eastAsia="el"/>
        </w:rPr>
        <w:t>Οι Συμμετέχουσες Δικαιοδοσίες, όπως ορίζονται στο σημείο Θ’ του παρόντος άρθρου, λαμβάνονται υπόψη για την εφαρμογή των κανόνων υποβολής στοιχείων και δέουσας επιμέλειας από την 1η Ιανουαρίου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