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Ε/2796</w:t>
      </w:r>
    </w:p>
    <w:p>
      <w:pPr>
        <w:spacing w:before="240" w:after="240"/>
        <w:rPr>
          <w:lang w:val="el" w:eastAsia="el"/>
        </w:rPr>
      </w:pPr>
      <w:r>
        <w:rPr>
          <w:b/>
          <w:bCs/>
          <w:lang w:val="el" w:eastAsia="el"/>
        </w:rPr>
        <w:t>Τροποποίηση της υπό στοιχεία Α.1105/29.7.2022 κοινής απόφασης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 4949/2022 (Α’ 126)» (Β’ 4190).</w:t>
      </w:r>
    </w:p>
    <w:p>
      <w:pPr>
        <w:spacing w:before="240" w:after="240"/>
        <w:rPr>
          <w:lang w:val="el" w:eastAsia="el"/>
        </w:rPr>
      </w:pPr>
      <w:r>
        <w:rPr>
          <w:b/>
          <w:bCs/>
          <w:lang w:val="el" w:eastAsia="el"/>
        </w:rPr>
        <w:t>Ο ΑΝΑΠΛΗΡΩΤΗΣ ΥΠΟΥΡΓΟΣ ΕΘΝΙΚΗΣ ΟΙΚΟΝΟΜΙΑΣ ΚΑΙ ΟΙΚΟΝΟΜΙΚΩΝ, Ο ΥΦΥΠΟΥΡΓΟΣ</w:t>
      </w:r>
    </w:p>
    <w:p>
      <w:pPr>
        <w:spacing w:before="240" w:after="240"/>
        <w:rPr>
          <w:lang w:val="el" w:eastAsia="el"/>
        </w:rPr>
      </w:pPr>
      <w:r>
        <w:rPr>
          <w:b/>
          <w:bCs/>
          <w:lang w:val="el" w:eastAsia="el"/>
        </w:rPr>
        <w:t>ΕΘΝΙΚΗΣ ΟΙΚΟΝΟΜΙΑΣ ΚΑΙ ΟΙΚΟΝΟΜΙΚΩΝ KAI Ο ΥΦΥΠΟΥΡΓΟΣ ΣΤΟΝ ΠΡΩΘΥΠΟΥΡΓΟ</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Ι. Τις διατάξεις:</w:t>
      </w:r>
    </w:p>
    <w:p>
      <w:pPr>
        <w:spacing w:before="240" w:after="240"/>
        <w:rPr>
          <w:lang w:val="el" w:eastAsia="el"/>
        </w:rPr>
      </w:pPr>
      <w:r>
        <w:rPr>
          <w:lang w:val="el" w:eastAsia="el"/>
        </w:rPr>
        <w:t>1. Του άρθρου 81 του ν. 4949/2022 «Ενσωμάτωση της παρ. 5 του άρθρου 1 της Οδηγίας (ΕΕ) 2017/952 του Συμβουλίου της 29ης Μαΐου 2017 για την τροποποίηση της Οδηγίας (ΕΕ) 2016/1164 όσον αφορά τις ασυμφωνίες στη μεταχείριση υβριδικών μέσων με τρίτες χώρες (L144), κύρωση της Σύμβασης μεταξύ του Ελληνικού Δημοσίου και της Επιχείρησης Καζίνο Ευρέος Φάσματος Ελληνικού Ανώνυμη Εταιρεία, για την παραχώρηση άδειας λειτουργίας επιχείρησης καζίνο (ΕΚΑΖ) ευρέος φάσματος δραστηριοτήτων στον Μητροπολιτικό Πόλο Ελληνικού - Αγίου Κοσμά, θέσπιση ολοκληρωμένου πλαισίου για την απόδοση βιώσιμης προοπτικής ανάπτυξης και την εκ νέου λειτουργία των Ναυπηγείων Σκαραμαγκά, τροποποιήσεις του Κώδικα Αναγκαστικών Απαλλοτριώσεων Ακινήτων και του Οργανισμού του Νομικού Συμβουλίου του Κράτους, επείγουσες φορολογικές και τελωνειακές ρυθμίσεις και άλλες επείγουσες διατάξεις» (Α’ 126), όπως αυτό τροποποιήθηκε με το άρθρο 35 του ν. 5111/2024 «Διατάξεις για την ενίσχυση της προστασίας του καταναλωτή, της ανάπτυξης και της εύρυθμης λειτουργίας της αγοράς, ρυθμίσεις για την ενίσχυση των επιχειρήσεων που πλήττονται από καταστροφές και άλλες διατάξεις» (Α’ 76),</w:t>
      </w:r>
    </w:p>
    <w:p>
      <w:pPr>
        <w:spacing w:before="240" w:after="240"/>
        <w:rPr>
          <w:lang w:val="el" w:eastAsia="el"/>
        </w:rPr>
      </w:pPr>
      <w:r>
        <w:rPr>
          <w:lang w:val="el" w:eastAsia="el"/>
        </w:rPr>
        <w:t>2. του άρθρου 107 της Συνθήκης για τη Λειτουργία της Ευρωπαϊκής Ένωσης (ΣΛΕΕ) και ιδίως του στοιχείου β’ της παρ. 3 αυτού,</w:t>
      </w:r>
    </w:p>
    <w:p>
      <w:pPr>
        <w:spacing w:before="240" w:after="240"/>
        <w:rPr>
          <w:lang w:val="el" w:eastAsia="el"/>
        </w:rPr>
      </w:pPr>
      <w:r>
        <w:rPr>
          <w:lang w:val="el" w:eastAsia="el"/>
        </w:rPr>
        <w:t>3. του υπ’ αρ. 651/2014 Κανονισμού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spacing w:before="240" w:after="240"/>
        <w:rPr>
          <w:lang w:val="el" w:eastAsia="el"/>
        </w:rPr>
      </w:pPr>
      <w:r>
        <w:rPr>
          <w:lang w:val="el" w:eastAsia="el"/>
        </w:rPr>
        <w:t>4. του υπ’ αρ. 1301/2013 Κανονισμού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 (L 347), όπως τροποποιήθηκε με τον Κανονισμό (ΕΕ) υπ’ αρ. 460/2020 (Ι 099),</w:t>
      </w:r>
    </w:p>
    <w:p>
      <w:pPr>
        <w:spacing w:before="240" w:after="240"/>
        <w:rPr>
          <w:lang w:val="el" w:eastAsia="el"/>
        </w:rPr>
      </w:pPr>
      <w:r>
        <w:rPr>
          <w:lang w:val="el" w:eastAsia="el"/>
        </w:rPr>
        <w:t>5. του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6. του ν. 5005/2022 «Ενίσχυση δημοσιότητας και διαφάνειας στον έντυπο και ηλεκτρονικό Τύπο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 (Α’ 236),</w:t>
      </w:r>
    </w:p>
    <w:p>
      <w:pPr>
        <w:spacing w:before="240" w:after="240"/>
        <w:rPr>
          <w:lang w:val="el" w:eastAsia="el"/>
        </w:rPr>
      </w:pPr>
      <w:r>
        <w:rPr>
          <w:lang w:val="el" w:eastAsia="el"/>
        </w:rPr>
        <w:t>7. του Κώδικα Είσπραξης Δημοσίων Εσόδων (ν. 4978/ 2022, Α’ 190),</w:t>
      </w:r>
    </w:p>
    <w:p>
      <w:pPr>
        <w:spacing w:before="240" w:after="240"/>
        <w:rPr>
          <w:lang w:val="el" w:eastAsia="el"/>
        </w:rPr>
      </w:pPr>
      <w:r>
        <w:rPr>
          <w:lang w:val="el" w:eastAsia="el"/>
        </w:rPr>
        <w:t>8.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9. του π.δ. 79/2023 «Διορισμός Υπουργών, Αναπληρωτών Υπουργών και Υφυπουργών» (Α’ 131),</w:t>
      </w:r>
    </w:p>
    <w:p>
      <w:pPr>
        <w:spacing w:before="240" w:after="240"/>
        <w:rPr>
          <w:lang w:val="el" w:eastAsia="el"/>
        </w:rPr>
      </w:pPr>
      <w:r>
        <w:rPr>
          <w:lang w:val="el" w:eastAsia="el"/>
        </w:rPr>
        <w:t>10.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11. του π.δ. 2/2024 «Διορισμός Υπουργών και Υφυπουργών» (Α’ 2),</w:t>
      </w:r>
    </w:p>
    <w:p>
      <w:pPr>
        <w:spacing w:before="240" w:after="240"/>
        <w:rPr>
          <w:lang w:val="el" w:eastAsia="el"/>
        </w:rPr>
      </w:pPr>
      <w:r>
        <w:rPr>
          <w:lang w:val="el" w:eastAsia="el"/>
        </w:rPr>
        <w:t>12. του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13. του π.δ. 142/2017 «Οργανισμός Υπουργείου Οικονομικών» (Α’ 181),</w:t>
      </w:r>
    </w:p>
    <w:p>
      <w:pPr>
        <w:spacing w:before="240" w:after="240"/>
        <w:rPr>
          <w:lang w:val="el" w:eastAsia="el"/>
        </w:rPr>
      </w:pPr>
      <w:r>
        <w:rPr>
          <w:lang w:val="el" w:eastAsia="el"/>
        </w:rPr>
        <w:t>14. του π.δ. 98/2020 «Οργανισμός της Προεδρίας της Κυβέρνησης» (Α’ 236),</w:t>
      </w:r>
    </w:p>
    <w:p>
      <w:pPr>
        <w:spacing w:before="240" w:after="240"/>
        <w:rPr>
          <w:lang w:val="el" w:eastAsia="el"/>
        </w:rPr>
      </w:pPr>
      <w:r>
        <w:rPr>
          <w:lang w:val="el" w:eastAsia="el"/>
        </w:rPr>
        <w:t>15. του π.δ. 80/2016 «Ανάληψη υποχρεώσεων από τους διατάκτες» (Α’ 145),</w:t>
      </w:r>
    </w:p>
    <w:p>
      <w:pPr>
        <w:spacing w:before="240" w:after="240"/>
        <w:rPr>
          <w:lang w:val="el" w:eastAsia="el"/>
        </w:rPr>
      </w:pPr>
      <w:r>
        <w:rPr>
          <w:lang w:val="el" w:eastAsia="el"/>
        </w:rPr>
        <w:t>16. του άρθρου 90 του Κώδικα Νομοθεσίας για την Κυβέρνηση και τα κυβερνητικά όργανα, (π.δ. 63/2005, Α’ 98), σε συνδυασμό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17. του ν. 3469/2006 «Εθνικό Τυπογραφείο, Εφημερίς της Κυβερνήσεως και λοιπές διατάξεις» (Α’ 131),</w:t>
      </w:r>
    </w:p>
    <w:p>
      <w:pPr>
        <w:spacing w:before="240" w:after="240"/>
        <w:rPr>
          <w:lang w:val="el" w:eastAsia="el"/>
        </w:rPr>
      </w:pPr>
      <w:r>
        <w:rPr>
          <w:lang w:val="el" w:eastAsia="el"/>
        </w:rPr>
        <w:t>18. της υπό στοιχεία Υ18/17.5.2024 απόφασης του Πρωθυπουργού «Ανάθεση αρμοδιοτήτων στον Υφυπουργό στον Πρωθυπουργό, Παύλο Μαρινάκη» (Β’ 2814),</w:t>
      </w:r>
    </w:p>
    <w:p>
      <w:pPr>
        <w:spacing w:before="240" w:after="240"/>
        <w:rPr>
          <w:lang w:val="el" w:eastAsia="el"/>
        </w:rPr>
      </w:pPr>
      <w:r>
        <w:rPr>
          <w:lang w:val="el" w:eastAsia="el"/>
        </w:rPr>
        <w:t>19. της υπό στοιχεία Υ12/7.7.2023 απόφασης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20. του π.δ. 32/2024 «Διορισμός Υπουργών και Υφυπουργών» (Α’ 91),</w:t>
      </w:r>
    </w:p>
    <w:p>
      <w:pPr>
        <w:spacing w:before="240" w:after="240"/>
        <w:rPr>
          <w:lang w:val="el" w:eastAsia="el"/>
        </w:rPr>
      </w:pPr>
      <w:r>
        <w:rPr>
          <w:lang w:val="el" w:eastAsia="el"/>
        </w:rPr>
        <w:t>21. της υπ’ αρ. 84913 ΕΞ 2024/17.6.2024 κοινής απόφασης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lang w:val="el" w:eastAsia="el"/>
        </w:rPr>
        <w:t>22. της υπ' αρ. 1/20.1.2016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της υπ’ αρ. 39/3/30.11.2017 απόφασης του Συμβουλίου Διοίκησης της Α.Α.Δ.Ε. «Ανανέωσης θητείας του Διοικητή της Ανεξάρτητης Αρχής Δημοσίων Εσόδων» (Υ.Ο.Δ.Δ. 689), καθώς και της υπό στοιχεία 5294 ΕΞ 17.1.2020 απόφασης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23. της υπ’ αρ. 134453/23.12.2015 κοινής απόφασης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46274/22.9.2014, (Β’ 2573)» (Β’ 2857),</w:t>
      </w:r>
    </w:p>
    <w:p>
      <w:pPr>
        <w:spacing w:before="240" w:after="240"/>
        <w:rPr>
          <w:lang w:val="el" w:eastAsia="el"/>
        </w:rPr>
      </w:pPr>
      <w:r>
        <w:rPr>
          <w:lang w:val="el" w:eastAsia="el"/>
        </w:rPr>
        <w:t>24. της υπ’ αρ. 109/12.3.2019 πράξης του Διοικητή της Τράπεζας της Ελλάδος,</w:t>
      </w:r>
    </w:p>
    <w:p>
      <w:pPr>
        <w:spacing w:before="240" w:after="240"/>
        <w:rPr>
          <w:lang w:val="el" w:eastAsia="el"/>
        </w:rPr>
      </w:pPr>
      <w:r>
        <w:rPr>
          <w:lang w:val="el" w:eastAsia="el"/>
        </w:rPr>
        <w:t>25. της από 19.6.2024 εισήγησης του Διοικητή της Ανεξάρτητης Αρχής Δημοσίων Εσόδων (ΑΑΔΕ),</w:t>
      </w:r>
    </w:p>
    <w:p>
      <w:pPr>
        <w:spacing w:before="240" w:after="240"/>
        <w:rPr>
          <w:lang w:val="el" w:eastAsia="el"/>
        </w:rPr>
      </w:pPr>
      <w:r>
        <w:rPr>
          <w:lang w:val="el" w:eastAsia="el"/>
        </w:rPr>
        <w:t>26. της υπό στοιχεία Α.Π. 86808 ΕΞ 2024/19.6.2024 εισήγησης της Γενικής Διεύθυνσης Οικονομικών Υπηρεσιών του Υπουργείου Εθνικής Οικονομίας και Οικονομικών, από την οποία προκύπτει ότι από την εφαρμογή της παρούσας απόφασης δεν προκαλείται επιπλέον επιβάρυνση στον Προϋπολογισμό του Προγράμματος Δημοσίων Επενδύσεων του Υπουργείου Εθνικής Οικονομίας και Οικονομικών, πέραν αυτής που προκλήθηκε από την τροποποίηση του άρθρου 81 του ν. 4949/2022 (Α’ 126), καθώς με την εν λόγω τροποποίηση επανακαθορίζονται οι δικαιούχοι της σχετικής επιχορήγησης.</w:t>
      </w:r>
    </w:p>
    <w:p>
      <w:pPr>
        <w:spacing w:before="240" w:after="240"/>
        <w:rPr>
          <w:lang w:val="el" w:eastAsia="el"/>
        </w:rPr>
      </w:pPr>
      <w:r>
        <w:rPr>
          <w:lang w:val="el" w:eastAsia="el"/>
        </w:rPr>
        <w:t>ΙΙ. Την υπό στοιχεία (2023/C 101/03) Ανακοίνωση της Ευρωπαϊκής Επιτροπής (ΕΕ)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όπως τροποποιήθηκε με την υπό στοιχεία 2023/C/1188 Ανακοίνωση της Ευρωπαϊκής Επιτροπής (ΕΕ) «Τροποποίηση του προσωρινού πλαισίου κρίσης και μετάβασης για τη λήψη μέτρων κρατικής ενίσχυσης με σκοπό τη στήριξη της οικονομίας μετά την επίθεση της Ρωσίας κατά της Ουκρανίας».</w:t>
      </w:r>
    </w:p>
    <w:p>
      <w:pPr>
        <w:spacing w:before="240" w:after="240"/>
        <w:rPr>
          <w:lang w:val="el" w:eastAsia="el"/>
        </w:rPr>
      </w:pPr>
      <w:r>
        <w:rPr>
          <w:lang w:val="el" w:eastAsia="el"/>
        </w:rPr>
        <w:t>ΙΙΙ. Την υπό στοιχεία C (2024) 2823 fina1/26.4.2024 απόφαση της Ευρωπαϊκής Επιτροπής.</w:t>
      </w:r>
    </w:p>
    <w:p>
      <w:pPr>
        <w:spacing w:before="240" w:after="240"/>
        <w:rPr>
          <w:lang w:val="el" w:eastAsia="el"/>
        </w:rPr>
      </w:pPr>
      <w:r>
        <w:rPr>
          <w:lang w:val="el" w:eastAsia="el"/>
        </w:rPr>
        <w:t>ΙV. Το γεγονός ότι από τις διατάξεις της παρούσας απόφασης, δεν προκαλείται επιπλέον δαπάνη στον κρατικό προϋπολογισμό, αποφασίζουμε:</w:t>
      </w:r>
    </w:p>
    <w:p>
      <w:pPr>
        <w:spacing w:before="240" w:after="240"/>
        <w:rPr>
          <w:lang w:val="el" w:eastAsia="el"/>
        </w:rPr>
      </w:pPr>
      <w:r>
        <w:rPr>
          <w:lang w:val="el" w:eastAsia="el"/>
        </w:rPr>
        <w:t>Τροποποιείται η υπό στοιχεία Α.1105/29.7.2022 κοινή απόφαση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 4949/2022 (Α’ 126)» (Β’ 4190), ως εξής:</w:t>
      </w:r>
    </w:p>
    <w:p>
      <w:pPr>
        <w:spacing w:before="240" w:after="240"/>
        <w:rPr>
          <w:lang w:val="el" w:eastAsia="el"/>
        </w:rPr>
      </w:pPr>
      <w:r>
        <w:rPr>
          <w:lang w:val="el" w:eastAsia="el"/>
        </w:rPr>
        <w:t>1. Στο άρθρο 2 (Ορισμοί) προστίθεται παρ. 11 ως εξής: «11. Απορροφώσα επιχείρηση: Ως απορροφώσα επιχείρηση θεωρείται για τους σκοπούς της παρούσας, η επιχείρηση για την οποία την 15.3.2024 έχει καταχωρηθεί στο ΓΕΜΗ ανακοίνωση της απορρόφησης, με οποιαδήποτε διάταξη νόμου, επιχειρήσεων που έλαβαν την αρχική ενίσχυση και πληρούν τις προϋποθέσεις της παρ. 1 του άρθρου 3 της παρούσας.».</w:t>
      </w:r>
    </w:p>
    <w:p>
      <w:pPr>
        <w:spacing w:before="240" w:after="240"/>
        <w:rPr>
          <w:lang w:val="el" w:eastAsia="el"/>
        </w:rPr>
      </w:pPr>
      <w:r>
        <w:rPr>
          <w:lang w:val="el" w:eastAsia="el"/>
        </w:rPr>
        <w:t>2. Το πρώτο εδάφιο της παρ. 3 του άρθρου 3 (Δικαιούχοι) τροποποιείται ως εξής:</w:t>
      </w:r>
    </w:p>
    <w:p>
      <w:pPr>
        <w:spacing w:before="240" w:after="240"/>
        <w:rPr>
          <w:lang w:val="el" w:eastAsia="el"/>
        </w:rPr>
      </w:pPr>
      <w:r>
        <w:rPr>
          <w:lang w:val="el" w:eastAsia="el"/>
        </w:rPr>
        <w:t>«3. Δικαιούχοι της πρόσθετης ενίσχυσης είναι οι επιχειρήσεις που έχουν λάβει την αρχική ενίσχυση ή έχουν απορροφήσει επιχειρήσεις που έχουν λάβει την αρχική ενίσχυση και την 15.3.2024 πληρούν επιπλέον σωρευτικά τα κάτωθι κριτήρια: ...».</w:t>
      </w:r>
    </w:p>
    <w:p>
      <w:pPr>
        <w:spacing w:before="240" w:after="240"/>
        <w:rPr>
          <w:lang w:val="el" w:eastAsia="el"/>
        </w:rPr>
      </w:pPr>
      <w:r>
        <w:rPr>
          <w:lang w:val="el" w:eastAsia="el"/>
        </w:rPr>
        <w:t>3. Η παρ. 8 του άρθρου 5 (Διαδικασία υποβολής αίτησης, υποβολής λοιπών προσδιοριστικών στοιχείων περί του ύψους της δαπάνης, διασταύρωση και εκκαθάρισης αυτής) αντικαθίσταται ως εξής:</w:t>
      </w:r>
    </w:p>
    <w:p>
      <w:pPr>
        <w:spacing w:before="240" w:after="240"/>
        <w:rPr>
          <w:lang w:val="el" w:eastAsia="el"/>
        </w:rPr>
      </w:pPr>
      <w:r>
        <w:rPr>
          <w:lang w:val="el" w:eastAsia="el"/>
        </w:rPr>
        <w:t>«8. Για την χορήγηση της πρόσθετης ενίσχυσης, οι ενδιαφερόμενες επιχειρήσεις υποβάλλουν στην ψηφιακή πλατφόρμα myBusinessSuppοrt αίτηση για τη χορήγηση της ως άνω ενίσχυσης από την 10η Ιουνίου 2024 μέχρι και την 20η Ιουνίου 2024. Η αιτούσα επιχείρηση δηλώνει τις επιχειρήσεις που απορρόφησε καθώς και τις επιχειρήσεις με τις οποίες συνιστά ενιαία οικονομική οντότητα και τις ενισχύσεις που αυτές έχουν λάβει δυνάμει καθεστώτων που στηρίζονται στο Τμήμα 2.1 της υπό στοιχεία (C2022) 131 Ι/01 ανακοίνωσης της Ευρωπαϊκής Επιτροπής (ΕΕ) «Προσωρινό πλαίσιο κρίσης για τη λήψη μέτρων κρατικής ενίσχυσης με σκοπό τη στήριξη της οικονομίας μετά την επίθεση της Ρωσίας κατά της Ουκρανίας», ως ίσχυε και της υπό στοιχεία 2023/C 101/03 ανακοίνωσης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ως ισχύει, υποβάλλοντας υπεύθυνη δήλωση σύμφωνα με το πρότυπο που προσαρτάται ως Παράρτημα της παρούσας.».</w:t>
      </w:r>
    </w:p>
    <w:p>
      <w:pPr>
        <w:spacing w:before="240" w:after="240"/>
        <w:rPr>
          <w:lang w:val="el" w:eastAsia="el"/>
        </w:rPr>
      </w:pPr>
      <w:r>
        <w:rPr>
          <w:lang w:val="el" w:eastAsia="el"/>
        </w:rPr>
        <w:t>4. Τροποποιείται το Παράρτημα (Υπόδειγμα Υπεύθυνης Δήλωσης) και διαμορφώνεται ως εξής: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ΥΠΟΔΕΙΓΜΑ ΥΠΕΥΘΥΝΗΣ ΔΗΛΩΣΗΣ</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4"/>
        <w:gridCol w:w="197"/>
        <w:gridCol w:w="245"/>
        <w:gridCol w:w="67"/>
        <w:gridCol w:w="4689"/>
        <w:gridCol w:w="5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ΠΡΟΣ</w:t>
            </w:r>
            <w:r>
              <w:rPr>
                <w:rStyle w:val="Hyperlink"/>
                <w:b w:val="0"/>
                <w:bCs w:val="0"/>
                <w:i w:val="0"/>
                <w:iCs w:val="0"/>
                <w:smallCaps w:val="0"/>
                <w:color w:val="000000"/>
                <w:sz w:val="20"/>
                <w:szCs w:val="20"/>
                <w:u w:val="none" w:color="0000EE"/>
                <w:vertAlign w:val="superscript"/>
                <w:lang w:val="el" w:eastAsia="el"/>
              </w:rPr>
              <w:footnoteReference w:id="2"/>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Όνομα </w:t>
            </w:r>
            <w:r>
              <w:rPr>
                <w:b w:val="0"/>
                <w:bCs w:val="0"/>
                <w:i/>
                <w:iCs/>
                <w:smallCaps w:val="0"/>
                <w:color w:val="000000"/>
                <w:lang w:val="el" w:eastAsia="el"/>
              </w:rPr>
              <w:t>και</w:t>
            </w:r>
            <w:r>
              <w:rPr>
                <w:b w:val="0"/>
                <w:bCs w:val="0"/>
                <w:i w:val="0"/>
                <w:iCs w:val="0"/>
                <w:smallCaps w:val="0"/>
                <w:color w:val="000000"/>
                <w:lang w:val="el" w:eastAsia="el"/>
              </w:rPr>
              <w:t xml:space="preserve">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Όνομα και </w:t>
            </w:r>
            <w:r>
              <w:rPr>
                <w:b w:val="0"/>
                <w:bCs w:val="0"/>
                <w:i/>
                <w:iCs/>
                <w:smallCaps w:val="0"/>
                <w:color w:val="000000"/>
                <w:lang w:val="el" w:eastAsia="el"/>
              </w:rPr>
              <w:t xml:space="preserve">Επώνυμο </w:t>
            </w:r>
            <w:r>
              <w:rPr>
                <w:b w:val="0"/>
                <w:bCs w:val="0"/>
                <w:i w:val="0"/>
                <w:iCs w:val="0"/>
                <w:smallCaps w:val="0"/>
                <w:color w:val="000000"/>
                <w:lang w:val="el" w:eastAsia="el"/>
              </w:rPr>
              <w:t>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rStyle w:val="Hyperlink"/>
                <w:b w:val="0"/>
                <w:bCs w:val="0"/>
                <w:i w:val="0"/>
                <w:iCs w:val="0"/>
                <w:smallCaps w:val="0"/>
                <w:color w:val="000000"/>
                <w:sz w:val="20"/>
                <w:szCs w:val="20"/>
                <w:u w:val="none" w:color="0000EE"/>
                <w:vertAlign w:val="superscript"/>
                <w:lang w:val="el" w:eastAsia="el"/>
              </w:rPr>
              <w:footnoteReference w:id="3"/>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 υ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rStyle w:val="Hyperlink"/>
          <w:color w:val="000000"/>
          <w:sz w:val="20"/>
          <w:szCs w:val="20"/>
          <w:u w:val="none" w:color="0000EE"/>
          <w:vertAlign w:val="superscript"/>
          <w:lang w:val="el" w:eastAsia="el"/>
        </w:rPr>
        <w:footnoteReference w:id="4"/>
      </w:r>
      <w:r>
        <w:rPr>
          <w:lang w:val="el" w:eastAsia="el"/>
        </w:rPr>
        <w:t>, που προβλέπονται από τις διατάξεις της παρ. 6 του άρθρου 22 του Ν. 1599/1986, δηλώνω ότι</w:t>
      </w:r>
      <w:r>
        <w:rPr>
          <w:rStyle w:val="Hyperlink"/>
          <w:color w:val="000000"/>
          <w:sz w:val="20"/>
          <w:szCs w:val="20"/>
          <w:u w:val="none" w:color="0000EE"/>
          <w:vertAlign w:val="superscript"/>
          <w:lang w:val="el" w:eastAsia="el"/>
        </w:rPr>
        <w:footnoteReference w:id="5"/>
      </w:r>
      <w:r>
        <w:rPr>
          <w:lang w:val="el" w:eastAsia="el"/>
        </w:rPr>
        <w:t>:</w:t>
      </w:r>
    </w:p>
    <w:p>
      <w:pPr>
        <w:spacing w:before="240" w:after="240"/>
        <w:rPr>
          <w:lang w:val="el" w:eastAsia="el"/>
        </w:rPr>
      </w:pPr>
      <w:r>
        <w:rPr>
          <w:b/>
          <w:bCs/>
          <w:lang w:val="el" w:eastAsia="el"/>
        </w:rPr>
        <w:t xml:space="preserve">Α. </w:t>
      </w:r>
      <w:r>
        <w:rPr>
          <w:lang w:val="el" w:eastAsia="el"/>
        </w:rPr>
        <w:t>Η επιχείρηση με ΑΦΜ την οποία νομίμως εκπροσωπώ:</w:t>
      </w:r>
    </w:p>
    <w:p>
      <w:pPr>
        <w:spacing w:before="240" w:after="240"/>
        <w:rPr>
          <w:lang w:val="el" w:eastAsia="el"/>
        </w:rPr>
      </w:pPr>
      <w:r>
        <w:rPr>
          <w:lang w:val="el" w:eastAsia="el"/>
        </w:rPr>
        <w:t>Ι. Υποβάλλει την αίτηση χορήγησης βάσει της ΚΥΑ προκειμένου να λάβει κρατική ενίσχυση η οποία είναι δυνατό να υπαχθεί στο πλαίσιο του Προσωρινού πλαισίου κρίσης και μετάβασης για τη λήψη μέτρων κρατικής ενίσχυσης με σκοπό τη στήριξη της οικονομίας μετά την επίθεση της Ρωσίας κατά της Ουκρανίας</w:t>
      </w:r>
    </w:p>
    <w:p>
      <w:pPr>
        <w:spacing w:before="240" w:after="240"/>
        <w:rPr>
          <w:lang w:val="el" w:eastAsia="el"/>
        </w:rPr>
      </w:pPr>
      <w:r>
        <w:rPr>
          <w:lang w:val="el" w:eastAsia="el"/>
        </w:rPr>
        <w:t>ΙΙ. Δραστηριοποιείται στον τομέα/στους τομείς:</w:t>
      </w:r>
    </w:p>
    <w:p>
      <w:pPr>
        <w:spacing w:before="240" w:after="240"/>
        <w:rPr>
          <w:lang w:val="el" w:eastAsia="el"/>
        </w:rPr>
      </w:pPr>
      <w:r>
        <w:rPr>
          <w:lang w:val="el" w:eastAsia="el"/>
        </w:rPr>
        <w:t>ΙΙΙ. Συνιστά «ενιαία οικονομική οντότητα», υπό την έννοια της παρ. 10 του άρθρου 2 της παρούσας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w:t>
      </w:r>
    </w:p>
    <w:p>
      <w:pPr>
        <w:spacing w:before="240" w:after="240"/>
        <w:rPr>
          <w:lang w:val="el" w:eastAsia="el"/>
        </w:rPr>
      </w:pPr>
      <w:r>
        <w:rPr>
          <w:lang w:val="el" w:eastAsia="el"/>
        </w:rPr>
        <w:t>Δεν</w:t>
      </w:r>
    </w:p>
    <w:p>
      <w:pPr>
        <w:spacing w:before="240" w:after="240"/>
        <w:rPr>
          <w:lang w:val="el" w:eastAsia="el"/>
        </w:rPr>
      </w:pPr>
      <w:r>
        <w:rPr>
          <w:lang w:val="el" w:eastAsia="el"/>
        </w:rPr>
        <w:t>συνιστά «ενιαία οικονομική οντότητα» με καμία άλλη επιχείρηση</w:t>
      </w:r>
    </w:p>
    <w:p>
      <w:pPr>
        <w:spacing w:before="240" w:after="240"/>
        <w:rPr>
          <w:lang w:val="el" w:eastAsia="el"/>
        </w:rPr>
      </w:pPr>
      <w:r>
        <w:rPr>
          <w:b/>
          <w:bCs/>
          <w:lang w:val="el" w:eastAsia="el"/>
        </w:rPr>
        <w:t xml:space="preserve">Β. </w:t>
      </w:r>
      <w:r>
        <w:rPr>
          <w:lang w:val="el" w:eastAsia="el"/>
        </w:rPr>
        <w:t xml:space="preserve">Στην επιχείρηση, συμπεριλαμβανομένων και των επιχειρήσεων που απορρόφησε, καθώς και των επιχειρήσεων που συνιστούν με αυτήν «ενιαία οικονομική οντότητα», κατά την έννοια της παρ. 10 του άρθρου 2 της παρούσας, </w:t>
      </w:r>
      <w:r>
        <w:rPr>
          <w:b/>
          <w:bCs/>
          <w:lang w:val="el" w:eastAsia="el"/>
        </w:rPr>
        <w:t xml:space="preserve">έχουν χορηγηθεί, </w:t>
      </w:r>
      <w:r>
        <w:rPr>
          <w:lang w:val="el" w:eastAsia="el"/>
        </w:rPr>
        <w:t>οι κάτωθι ενισχύσεις βάσει των υπ’ αριθ. (2022) 131 Ι/01 και υπ’ αριθ. 2023/C 101/03 Ανακοινώσεων της Ευρωπαϊκής Επιτροπής, όπως τροποποιήθηκαν: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2"/>
        <w:gridCol w:w="1271"/>
        <w:gridCol w:w="1271"/>
        <w:gridCol w:w="1246"/>
        <w:gridCol w:w="1316"/>
        <w:gridCol w:w="1266"/>
        <w:gridCol w:w="1266"/>
        <w:gridCol w:w="122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ΒΑΣΕΙ ΤΩΝ ΥΠ’ ΑΡΙΘ. (2022) 131 Ι/01 ΚΑΙ ΥΠ’ ΑΡΙΘ. 2023/C 101/03 ΑΝΑΚΟΙΝΩΣΕΩΝ ΤΗΣ ΕΥΡΩΠΑΪΚΗΣ</w:t>
            </w:r>
          </w:p>
          <w:p>
            <w:pPr>
              <w:spacing w:before="240" w:after="240"/>
              <w:rPr>
                <w:b w:val="0"/>
                <w:bCs w:val="0"/>
                <w:i w:val="0"/>
                <w:iCs w:val="0"/>
                <w:smallCaps w:val="0"/>
                <w:color w:val="000000"/>
                <w:lang w:val="el" w:eastAsia="el"/>
              </w:rPr>
            </w:pPr>
            <w:r>
              <w:rPr>
                <w:b/>
                <w:bCs/>
                <w:i w:val="0"/>
                <w:iCs w:val="0"/>
                <w:smallCaps w:val="0"/>
                <w:color w:val="000000"/>
                <w:lang w:val="el" w:eastAsia="el"/>
              </w:rPr>
              <w:t>ΕΠΙΤΡΟΠΗΣ (ΕΕ) ΠΟΥ ΕΧΟΥΝ ΧΟΡΗΓΗΘΕΙ ΣΤΗΝ ΕΠΙΧΕΙΡΗΣΗ</w:t>
            </w:r>
          </w:p>
          <w:p>
            <w:pPr>
              <w:spacing w:before="240"/>
              <w:rPr>
                <w:b w:val="0"/>
                <w:bCs w:val="0"/>
                <w:i w:val="0"/>
                <w:iCs w:val="0"/>
                <w:smallCaps w:val="0"/>
                <w:color w:val="000000"/>
                <w:lang w:val="el" w:eastAsia="el"/>
              </w:rPr>
            </w:pPr>
            <w:r>
              <w:rPr>
                <w:b/>
                <w:bCs/>
                <w:i w:val="0"/>
                <w:iCs w:val="0"/>
                <w:smallCaps w:val="0"/>
                <w:color w:val="000000"/>
                <w:lang w:val="el" w:eastAsia="el"/>
              </w:rPr>
              <w:t>(αφορά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ΟΝΟΜΑΣΙΑ ΠΡΟΓΡΑΜΜ</w:t>
            </w:r>
          </w:p>
          <w:p>
            <w:pPr>
              <w:spacing w:before="240"/>
              <w:rPr>
                <w:b w:val="0"/>
                <w:bCs w:val="0"/>
                <w:i w:val="0"/>
                <w:iCs w:val="0"/>
                <w:smallCaps w:val="0"/>
                <w:color w:val="000000"/>
                <w:lang w:val="el" w:eastAsia="el"/>
              </w:rPr>
            </w:pPr>
            <w:r>
              <w:rPr>
                <w:b w:val="0"/>
                <w:bCs w:val="0"/>
                <w:i w:val="0"/>
                <w:iCs w:val="0"/>
                <w:smallCaps w:val="0"/>
                <w:color w:val="000000"/>
                <w:lang w:val="el" w:eastAsia="el"/>
              </w:rPr>
              <w:t>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 ΠΡΩΤ.</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 ΠΟΣΟ</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r>
    </w:tbl>
    <w:p>
      <w:pPr>
        <w:spacing w:before="240" w:after="240"/>
        <w:rPr>
          <w:lang w:val="el" w:eastAsia="el"/>
        </w:rPr>
      </w:pPr>
      <w:r>
        <w:rPr>
          <w:b/>
          <w:bCs/>
          <w:lang w:val="el" w:eastAsia="el"/>
        </w:rPr>
        <w:t xml:space="preserve">Γ. </w:t>
      </w:r>
      <w:r>
        <w:rPr>
          <w:lang w:val="el" w:eastAsia="el"/>
        </w:rPr>
        <w:t xml:space="preserve">Η επιχείρηση, συμπεριλαμβανομένων και των επιχειρήσεων που απορρόφησε, καθώς και των επιχειρήσεων που συνιστούν με αυτήν «ενιαία οικονομική οντότητα», κατά την έννοια της παρ. 10 του άρθρου 2 της παρούσας, </w:t>
      </w:r>
      <w:r>
        <w:rPr>
          <w:b/>
          <w:bCs/>
          <w:lang w:val="el" w:eastAsia="el"/>
        </w:rPr>
        <w:t xml:space="preserve">έχει υποβάλει αίτηση </w:t>
      </w:r>
      <w:r>
        <w:rPr>
          <w:lang w:val="el" w:eastAsia="el"/>
        </w:rPr>
        <w:t>για την χορήγηση των κάτωθι ενισχύσεων βάσει της υπ’ αριθ. 2023/C 101/03 Ανακοίνωσης της Ευρωπαϊκής Επιτροπής: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883"/>
        <w:gridCol w:w="1910"/>
        <w:gridCol w:w="1887"/>
        <w:gridCol w:w="2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ΟΝΟΜΑΣΙΑ ΠΡΟΓΡΑΜΜ</w:t>
            </w:r>
          </w:p>
          <w:p>
            <w:pPr>
              <w:spacing w:before="240"/>
              <w:rPr>
                <w:b w:val="0"/>
                <w:bCs w:val="0"/>
                <w:i w:val="0"/>
                <w:iCs w:val="0"/>
                <w:smallCaps w:val="0"/>
                <w:color w:val="000000"/>
                <w:lang w:val="el" w:eastAsia="el"/>
              </w:rPr>
            </w:pPr>
            <w:r>
              <w:rPr>
                <w:b w:val="0"/>
                <w:bCs w:val="0"/>
                <w:i w:val="0"/>
                <w:iCs w:val="0"/>
                <w:smallCaps w:val="0"/>
                <w:color w:val="000000"/>
                <w:lang w:val="el" w:eastAsia="el"/>
              </w:rPr>
              <w:t>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r>
    </w:tbl>
    <w:p>
      <w:pPr>
        <w:spacing w:before="240" w:after="240"/>
        <w:rPr>
          <w:lang w:val="el" w:eastAsia="el"/>
        </w:rPr>
      </w:pPr>
      <w:r>
        <w:rPr>
          <w:lang w:val="el" w:eastAsia="el"/>
        </w:rPr>
        <w:t>Δ. 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Ε. Η επιχείρηση με βάση τον ορισμό που περιλαμβάνεται στο άρθρο 2 της παρούσας ΚΥΑ, είναι:</w:t>
      </w:r>
    </w:p>
    <w:p>
      <w:pPr>
        <w:pStyle w:val="StructureList1"/>
        <w:spacing w:before="120" w:after="0"/>
        <w:rPr>
          <w:lang w:val="el" w:eastAsia="el"/>
        </w:rPr>
      </w:pPr>
      <w:r>
        <w:rPr>
          <w:lang w:val="el" w:eastAsia="el"/>
        </w:rPr>
        <w:t>-</w:t>
      </w:r>
      <w:r>
        <w:rPr>
          <w:lang w:val="en" w:eastAsia="en"/>
        </w:rPr>
        <w:tab/>
      </w:r>
      <w:r>
        <w:rPr>
          <w:lang w:val="el" w:eastAsia="el"/>
        </w:rPr>
        <w:t>Πολύ μικρή</w:t>
      </w:r>
    </w:p>
    <w:p>
      <w:pPr>
        <w:pStyle w:val="StructureList1"/>
        <w:spacing w:before="120" w:after="0"/>
        <w:rPr>
          <w:lang w:val="el" w:eastAsia="el"/>
        </w:rPr>
      </w:pPr>
      <w:r>
        <w:rPr>
          <w:lang w:val="el" w:eastAsia="el"/>
        </w:rPr>
        <w:t>-</w:t>
      </w:r>
      <w:r>
        <w:rPr>
          <w:lang w:val="en" w:eastAsia="en"/>
        </w:rPr>
        <w:tab/>
      </w:r>
      <w:r>
        <w:rPr>
          <w:lang w:val="el" w:eastAsia="el"/>
        </w:rPr>
        <w:t>Μικρή</w:t>
      </w:r>
    </w:p>
    <w:p>
      <w:pPr>
        <w:pStyle w:val="StructureList1"/>
        <w:spacing w:before="120" w:after="0"/>
        <w:rPr>
          <w:lang w:val="el" w:eastAsia="el"/>
        </w:rPr>
      </w:pPr>
      <w:r>
        <w:rPr>
          <w:lang w:val="el" w:eastAsia="el"/>
        </w:rPr>
        <w:t>-</w:t>
      </w:r>
      <w:r>
        <w:rPr>
          <w:lang w:val="en" w:eastAsia="en"/>
        </w:rPr>
        <w:tab/>
      </w:r>
      <w:r>
        <w:rPr>
          <w:lang w:val="el" w:eastAsia="el"/>
        </w:rPr>
        <w:t>Μεσαία</w:t>
      </w:r>
    </w:p>
    <w:p>
      <w:pPr>
        <w:pStyle w:val="StructureList1"/>
        <w:spacing w:before="120" w:after="0"/>
        <w:rPr>
          <w:lang w:val="el" w:eastAsia="el"/>
        </w:rPr>
      </w:pPr>
      <w:r>
        <w:rPr>
          <w:lang w:val="el" w:eastAsia="el"/>
        </w:rPr>
        <w:t>-</w:t>
      </w:r>
      <w:r>
        <w:rPr>
          <w:lang w:val="en" w:eastAsia="en"/>
        </w:rPr>
        <w:tab/>
      </w:r>
      <w:r>
        <w:rPr>
          <w:lang w:val="el" w:eastAsia="el"/>
        </w:rPr>
        <w:t>Μεγάλη</w:t>
      </w:r>
    </w:p>
    <w:p>
      <w:pPr>
        <w:spacing w:before="240" w:after="240"/>
        <w:rPr>
          <w:lang w:val="el" w:eastAsia="el"/>
        </w:rPr>
      </w:pPr>
      <w:r>
        <w:rPr>
          <w:lang w:val="el" w:eastAsia="el"/>
        </w:rPr>
        <w:t>ΣΤ. Η επιχείρηση, συμπεριλαμβανομένων και των επιχειρήσεων που απορρόφησε, καθώς και των επιχειρήσεων που συνιστούν με αυτήν «ενιαία επιχείρηση», κατά την έννοια του άρθρου 2 της παρούσας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Ζ. Η επιχείρηση, σε περίπτωση που δραστηριοποιείται και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ενίσχυσης.</w:t>
      </w:r>
    </w:p>
    <w:p>
      <w:pPr>
        <w:spacing w:before="240" w:after="240"/>
        <w:rPr>
          <w:lang w:val="el" w:eastAsia="el"/>
        </w:rPr>
      </w:pPr>
      <w:r>
        <w:rPr>
          <w:lang w:val="el" w:eastAsia="el"/>
        </w:rPr>
        <w:t>Η. Η επιχείρηση σε περίπτωση που δραστηριοποιείται σε περισσότερους του ενός τομείς στους οποίους ισχύουν διαφορετικά ανώτατα όρια ενίσχυσης σύμφωνα με το Προσωρινό Πλαίσιο,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Θ. Δεν συντρέχουν οι λόγοι αποκλεισμού της παρ. 1 του άρθρου 40 του ν. 4488/2017 (Α’ 137) για την επιχείρηση.</w:t>
      </w:r>
    </w:p>
    <w:p>
      <w:pPr>
        <w:spacing w:before="240" w:after="240"/>
        <w:rPr>
          <w:lang w:val="el" w:eastAsia="el"/>
        </w:rPr>
      </w:pPr>
      <w:r>
        <w:rPr>
          <w:lang w:val="el" w:eastAsia="el"/>
        </w:rPr>
        <w:t>Ι. Δεν έχουν επιβληθεί από την Ε.Ε. στην επιχείρηση συμπεριλαμβανομένων και των επιχειρήσεων που συνιστούν με αυτήν «ενιαία επιχείρηση», κατά την έννοια του άρθρου 2 της παρούσας, κυρώσεις σύμφωνα με την παρ. 52 της Ανακοίνωσης 2023/ci01/03.</w:t>
      </w:r>
    </w:p>
    <w:p>
      <w:pPr>
        <w:spacing w:before="240" w:after="240"/>
        <w:rPr>
          <w:lang w:val="el" w:eastAsia="el"/>
        </w:rPr>
      </w:pPr>
      <w:r>
        <w:rPr>
          <w:lang w:val="el" w:eastAsia="el"/>
        </w:rPr>
        <w:t>Κ. Έχω λάβει γνώση του περιεχομένου της παρούσας απόφασης και βεβαιώνω ότι η επιχείρηση πληροί το σύνολο των προϋποθέσεων της παρούσας.</w:t>
      </w:r>
    </w:p>
    <w:p>
      <w:pPr>
        <w:spacing w:before="240" w:after="240"/>
        <w:rPr>
          <w:lang w:val="el" w:eastAsia="el"/>
        </w:rPr>
      </w:pPr>
      <w:r>
        <w:rPr>
          <w:lang w:val="el" w:eastAsia="el"/>
        </w:rPr>
        <w:t>Ημερομηνία: /</w:t>
      </w:r>
    </w:p>
    <w:p>
      <w:pPr>
        <w:spacing w:before="240" w:after="240"/>
        <w:rPr>
          <w:lang w:val="el" w:eastAsia="el"/>
        </w:rPr>
      </w:pPr>
      <w:r>
        <w:rPr>
          <w:lang w:val="el" w:eastAsia="el"/>
        </w:rPr>
        <w:t>……/…………..</w:t>
      </w:r>
    </w:p>
    <w:p>
      <w:pPr>
        <w:spacing w:before="240" w:after="240"/>
        <w:rPr>
          <w:lang w:val="el" w:eastAsia="el"/>
        </w:rPr>
      </w:pPr>
      <w:r>
        <w:rPr>
          <w:lang w:val="el" w:eastAsia="el"/>
        </w:rPr>
        <w:t>Ο-Η Δηλ.</w:t>
      </w:r>
    </w:p>
    <w:p>
      <w:pPr>
        <w:spacing w:before="240" w:after="240"/>
        <w:rPr>
          <w:lang w:val="el" w:eastAsia="el"/>
        </w:rPr>
      </w:pPr>
      <w:r>
        <w:rPr>
          <w:lang w:val="el" w:eastAsia="el"/>
        </w:rPr>
        <w:t>(Υπογραφή)</w:t>
      </w:r>
    </w:p>
    <w:p>
      <w:pPr>
        <w:spacing w:before="240" w:after="240"/>
        <w:rPr>
          <w:lang w:val="el" w:eastAsia="el"/>
        </w:rPr>
      </w:pPr>
      <w:r>
        <w:rPr>
          <w:lang w:val="el" w:eastAsia="el"/>
        </w:rPr>
        <w:t>Κατά τα λοιπά, η υπό στοιχεία Α.1105/29.7.2022 κοινή απόφαση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 4949/2022 (Α’ 126)» (Β’ 4190) παραμένει ως έχει.</w:t>
      </w:r>
    </w:p>
    <w:p>
      <w:pPr>
        <w:spacing w:before="240" w:after="240"/>
        <w:rPr>
          <w:lang w:val="el" w:eastAsia="el"/>
        </w:rPr>
      </w:pPr>
      <w:r>
        <w:rPr>
          <w:lang w:val="el" w:eastAsia="el"/>
        </w:rPr>
        <w:t>Η απόφαση αυτή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Ιουνίου 2024</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69"/>
        <w:gridCol w:w="27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r>
    </w:tbl>
    <w:p>
      <w:pPr>
        <w:spacing w:before="240" w:after="240"/>
        <w:rPr>
          <w:lang w:val="el" w:eastAsia="el"/>
        </w:rPr>
      </w:pPr>
      <w:r>
        <w:rPr>
          <w:lang w:val="el" w:eastAsia="el"/>
        </w:rPr>
        <w:t>Ο Υφυπουργός στον Πρωθυπουργό</w:t>
      </w:r>
    </w:p>
    <w:p>
      <w:pPr>
        <w:spacing w:before="240" w:after="240"/>
        <w:rPr>
          <w:lang w:val="el" w:eastAsia="el"/>
        </w:rPr>
      </w:pPr>
      <w:r>
        <w:rPr>
          <w:b/>
          <w:bCs/>
          <w:lang w:val="el" w:eastAsia="el"/>
        </w:rPr>
        <w:t>ΠΑΥΛΟΣ ΜΑΡΙΝΑΚΗΣ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Αναγράφεται από τον ενδιαφερόμενο πολίτη ή Αρχή ή η Υπηρεσία του δημόσιου τομέα, που απευθύνεται η</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αίτηση.</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Αναγράφεται ολογράφως.;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Σε περίπτωση ανεπάρκειας χώρου η δήλωση συνεχίζεται στην πίσω όψη της και υπογράφεται από τον δηλούντα ή την δηλούσα.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