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ΥΠΕΝ/ΔΔΔ/678</w:t>
      </w:r>
      <w:r>
        <w:rPr>
          <w:lang w:val="el" w:eastAsia="el"/>
        </w:rPr>
        <w:t>01/2268</w:t>
      </w:r>
    </w:p>
    <w:p>
      <w:pPr>
        <w:pStyle w:val="PreambelText"/>
        <w:spacing w:before="240" w:after="240"/>
        <w:rPr>
          <w:lang w:val="el" w:eastAsia="el"/>
        </w:rPr>
      </w:pPr>
      <w:r>
        <w:rPr>
          <w:b/>
          <w:bCs/>
          <w:lang w:val="el" w:eastAsia="el"/>
        </w:rPr>
        <w:t>Αμοιβή και αποζημιώσεις για τη μεταφορά δασεργατών και ενεργοποίηση Δασικών Συνεταιρισμών Εργασίας σε περίπτωση δασικής πυρκαγιάς ή άλλης φυσικής καταστροφής.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π.δ. 29/2022 «Οργανισμός Υπουργείου Περιβάλλοντος και Ενέργειας» (Α’ 77).</w:t>
      </w:r>
    </w:p>
    <w:p>
      <w:pPr>
        <w:pStyle w:val="PreambelText"/>
        <w:spacing w:before="240" w:after="240"/>
        <w:rPr>
          <w:lang w:val="el" w:eastAsia="el"/>
        </w:rPr>
      </w:pPr>
      <w:r>
        <w:rPr>
          <w:lang w:val="el" w:eastAsia="el"/>
        </w:rPr>
        <w:t>4. Την παρ. 1 του άρθρου 30 και την παρ. 7 του άρθρου 32 του ν. 5106/2024 «Ρυθμίσεις για την αντιμετώπιση των πολυεπίπεδων επιπτώσεων της κλιματικής αλλαγής στους τομείς: α) της διαχείρισης υδάτων, β) της διαχείρισης και προστασίας των δασών, γ) της αστικής ανθεκτικότητας και πολιτικής, δ) της καταπολέμησης της αυθαίρετης δόμησης, ε) της ενεργειακής ασφάλειας και άλλες επείγουσες διατάξεις» (Α’ 63).</w:t>
      </w:r>
    </w:p>
    <w:p>
      <w:pPr>
        <w:pStyle w:val="PreambelText"/>
        <w:spacing w:before="240" w:after="240"/>
        <w:rPr>
          <w:lang w:val="el" w:eastAsia="el"/>
        </w:rPr>
      </w:pPr>
      <w:r>
        <w:rPr>
          <w:lang w:val="el" w:eastAsia="el"/>
        </w:rPr>
        <w:t>5. Τον ν. 5069/2023 «Όροι δόμησης, κατασκευής, επιτρεπόμενες χρήσεις γης για κέντρα δεδομένων, χωροταξικές και πολεοδομικές ρυθμίσεις, αξιοποίηση πόρων Πράσινου Ταμείου, λοιπές περιβαλλοντικές και ενεργειακές διατάξεις και άλλες επείγουσες ρυθμίσεις» (Α’ 193) και ιδίως το άρθρο 39 αυτού.</w:t>
      </w:r>
    </w:p>
    <w:p>
      <w:pPr>
        <w:pStyle w:val="PreambelText"/>
        <w:spacing w:before="240" w:after="240"/>
        <w:rPr>
          <w:lang w:val="el" w:eastAsia="el"/>
        </w:rPr>
      </w:pPr>
      <w:r>
        <w:rPr>
          <w:lang w:val="el" w:eastAsia="el"/>
        </w:rPr>
        <w:t>6.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7.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8. Το π.δ. 189/2009 «Καθορισμός και ανακατανομή αρμοδιοτήτων των Υπουργείων» (Α’ 221), με το οποίο η Γενική Διεύθυνση Ανάπτυξης και Προστασίας Δασών και Φ.Π. μεταφέρεται στο Υπουργείο Περιβάλλοντος, Ενέργειας και Κλιματικής Αλλαγής.</w:t>
      </w:r>
    </w:p>
    <w:p>
      <w:pPr>
        <w:pStyle w:val="PreambelText"/>
        <w:spacing w:before="240" w:after="240"/>
        <w:rPr>
          <w:lang w:val="el" w:eastAsia="el"/>
        </w:rPr>
      </w:pPr>
      <w:r>
        <w:rPr>
          <w:lang w:val="el" w:eastAsia="el"/>
        </w:rPr>
        <w:t>9. Το π.δ. 132/2017 «Οργανισμός Υπουργείου Περιβάλλοντος και Ενέργειας (Υ.Π.ΕΝ.)» (Α’ 160), όπως τροποποιήθηκε με το π.δ. 29/2022 (Α’ 77).</w:t>
      </w:r>
    </w:p>
    <w:p>
      <w:pPr>
        <w:pStyle w:val="PreambelText"/>
        <w:spacing w:before="240" w:after="240"/>
        <w:rPr>
          <w:lang w:val="el" w:eastAsia="el"/>
        </w:rPr>
      </w:pPr>
      <w:r>
        <w:rPr>
          <w:lang w:val="el" w:eastAsia="el"/>
        </w:rPr>
        <w:t>10.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 με το οποίο το Υπουργείο Παραγωγικής Ανασυγκρότησης, Περιβάλλοντος και Ενέργειας μετονομάζεται σε Υπουργείο Περιβάλλοντος και Ενέργειας.</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Το π.δ. 6/2022 «Σύσταση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13.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14. Την υπό στοιχεία 102928 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15. Την υπό στοιχεία ΥΠΕΝ/ΥΠΡΓ/79859/5910/ 25.07.2023 κοινή απόφαση του Πρωθυπουργού και του Υπουργού Περιβάλλοντος και Ενέργειας «Διορισμός Γενικού Γραμματέα Δασών του Υπουργείου Περιβάλλοντος και Ενέργειας» (Υ.Ο.Δ.Δ. 745).</w:t>
      </w:r>
    </w:p>
    <w:p>
      <w:pPr>
        <w:pStyle w:val="PreambelText"/>
        <w:spacing w:before="240" w:after="240"/>
        <w:rPr>
          <w:lang w:val="el" w:eastAsia="el"/>
        </w:rPr>
      </w:pPr>
      <w:r>
        <w:rPr>
          <w:lang w:val="el" w:eastAsia="el"/>
        </w:rPr>
        <w:t>16. Την υπό στοιχεία ΥΠΕΝ/ΔΟΙΚΔ/74135/6765/ 30.07.2020 απόφαση του Υπηρεσιακού Γραμματέα ΥΠΕΝ «Ορισμός Αναπληρωτή Προϊσταμένου Γενικής Διεύθυνσης Δασών και Δασικού Περιβάλλοντος» (ΑΔΑ: 6ΡΛ34653Π8-028).</w:t>
      </w:r>
    </w:p>
    <w:p>
      <w:pPr>
        <w:pStyle w:val="PreambelText"/>
        <w:spacing w:before="240" w:after="240"/>
        <w:rPr>
          <w:lang w:val="el" w:eastAsia="el"/>
        </w:rPr>
      </w:pPr>
      <w:r>
        <w:rPr>
          <w:lang w:val="el" w:eastAsia="el"/>
        </w:rPr>
        <w:t>17. Τον ν. 4423/2016 «Δασικές Συνεταιριστικές Οργανώσεις και άλλες διατάξεις» (Α’ 182).</w:t>
      </w:r>
    </w:p>
    <w:p>
      <w:pPr>
        <w:pStyle w:val="PreambelText"/>
        <w:spacing w:before="240" w:after="240"/>
        <w:rPr>
          <w:lang w:val="el" w:eastAsia="el"/>
        </w:rPr>
      </w:pPr>
      <w:r>
        <w:rPr>
          <w:lang w:val="el" w:eastAsia="el"/>
        </w:rPr>
        <w:t>18. Την υπό στοιχεία ΥΠΕΝ/ΔΔΔ/53724/85/12-6-2019 υπουργική απόφαση «Τήρηση του Μητρώου Δασικών Συνεταιριστικών Οργανώσεων και Δασεργατών κατ’ εφαρμογή του ν. 4423/2016» (Β’ 2398).</w:t>
      </w:r>
    </w:p>
    <w:p>
      <w:pPr>
        <w:pStyle w:val="PreambelText"/>
        <w:spacing w:before="240" w:after="240"/>
        <w:rPr>
          <w:lang w:val="el" w:eastAsia="el"/>
        </w:rPr>
      </w:pPr>
      <w:r>
        <w:rPr>
          <w:lang w:val="el" w:eastAsia="el"/>
        </w:rPr>
        <w:t>19. Την υπό στοιχεία ΥΠΕΝ/ΔΠΔΑ/65203/1408/ 19.06.2024 εισήγηση της Γενικής Διεύθυνσης Οικονομικών Υπηρεσιών του Υπουργείου Περιβάλλοντος και Ενέργειας, σύμφωνα με τα οριζόμενα στην παρ. 5ε του άρθρου 24 του ν. 4270/2014 (Α’ 143), όπως τροποποιήθηκε και ισχύει.</w:t>
      </w:r>
    </w:p>
    <w:p>
      <w:pPr>
        <w:pStyle w:val="PreambelText"/>
        <w:spacing w:before="240" w:after="240"/>
        <w:rPr>
          <w:lang w:val="el" w:eastAsia="el"/>
        </w:rPr>
      </w:pPr>
      <w:r>
        <w:rPr>
          <w:lang w:val="el" w:eastAsia="el"/>
        </w:rPr>
        <w:t>20. Το γεγονός ότι από την παρούσα δεν προκαλείται δαπάνη, στον κρατικό προϋπολογισμό, αλλά προκαλείται δαπάνη, το ύψος της οποίας εξαρτάται από τις περιπτώσεις συνδρομής δασεργατών σε δασική πυρκαγιά ή άλλη φυσική καταστροφή και η οποία θα βαρύνει τις κατ’ έτος εγγεγραμμένες πιστώσεις της Δράσης 8: Οικονομική Ενίσχυση Δασικών Συνεταιρισμών (Δα.Σ.Ε.), του Μέτρου 1: Μέτρα Διαχείρισης Δασών και Άγριας Πανίδας, του Άξονα Προτεραιότητας 2, Διαχείριση Δασικών Οικοσυστημάτων του Χρηματοδοτικού Προγράμματος (Προστασία και αναβάθμιση δασών) του Ειδικού Φορέα Δασών του Πράσινου Ταμείου (ΚΑΕ 2499),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Αμοιβές και αποζημιώσεις των δασεργατών</w:t>
      </w:r>
    </w:p>
    <w:p>
      <w:pPr>
        <w:pStyle w:val="MainText"/>
        <w:spacing w:before="120" w:after="0"/>
        <w:rPr>
          <w:lang w:val="el" w:eastAsia="el"/>
        </w:rPr>
      </w:pPr>
      <w:r>
        <w:rPr>
          <w:b/>
          <w:bCs/>
          <w:lang w:val="el" w:eastAsia="el"/>
        </w:rPr>
        <w:t>1.</w:t>
      </w:r>
      <w:r>
        <w:rPr>
          <w:lang w:val="el" w:eastAsia="el"/>
        </w:rPr>
        <w:t xml:space="preserve"> Σε περίπτωση συνδρομής περιστατικού της παρ. 1 του άρθρου 30 του ν. 5106/2024, ήτοι πυρκαγιάς ή άλλης φυσικής καταστροφής εντός δασικού χαρακτήρα εκτάσεων σε περιοχή εκτός της έδρας ενός Δασικού Συνεταιρισμού Εργασίας και ενεργοποιηθεί ο Συνεταιρισμός αυτός για τη μεταφορά δασεργατών μελών του, εγγεγραμμένων στο ΜΗΔΑΣΟ, με σκοπό την άμεση αντιμετώπιση της φυσικής καταστροφής, καταβάλλεται αμοιβή του δραστηριοποιούμενου ως άνω προσωπικού και αποζημιώσεις που αφορούν στη μεταφορά και τη διαμονή του προσωπικού και του αναγκαίου εξοπλισμού του κατά τα οριζόμενα στις επόμενες παραγράφους.</w:t>
      </w:r>
    </w:p>
    <w:p>
      <w:pPr>
        <w:pStyle w:val="MainText"/>
        <w:spacing w:before="120" w:after="0"/>
        <w:rPr>
          <w:lang w:val="el" w:eastAsia="el"/>
        </w:rPr>
      </w:pPr>
      <w:r>
        <w:rPr>
          <w:b/>
          <w:bCs/>
          <w:lang w:val="el" w:eastAsia="el"/>
        </w:rPr>
        <w:t>2.</w:t>
      </w:r>
      <w:r>
        <w:rPr>
          <w:lang w:val="el" w:eastAsia="el"/>
        </w:rPr>
        <w:t xml:space="preserve"> Η αμοιβή των δασεργατών ορίζεται σε 10,00 ευρώ ανά ώρα, με ανώτατο 150,00 ευρώ ανά ημέρα απασχόλησης. Η αποζημίωση για την χρήση του αναγκαίου εξοπλισμού τους, ανέρχεται σε 30,00 ευρώ ανά ημέρα απασχόλησης για τη χρήση αλυσοπρίονου.</w:t>
      </w:r>
    </w:p>
    <w:p>
      <w:pPr>
        <w:pStyle w:val="MainText"/>
        <w:spacing w:before="120" w:after="0"/>
        <w:rPr>
          <w:lang w:val="el" w:eastAsia="el"/>
        </w:rPr>
      </w:pPr>
      <w:r>
        <w:rPr>
          <w:b/>
          <w:bCs/>
          <w:lang w:val="el" w:eastAsia="el"/>
        </w:rPr>
        <w:t>3.</w:t>
      </w:r>
      <w:r>
        <w:rPr>
          <w:lang w:val="el" w:eastAsia="el"/>
        </w:rPr>
        <w:t xml:space="preserve"> Η αποζημίωση που αφορά στη μεταφορά από και προς τον τόπο του περιστατικού με ίδια μέσα καθορίζεται σε 0,20 ευρώ ανά χιλιόμετρο, και η αποζημίωση που αφορά στη διανυκτέρευση των δασεργατών υπολογίζεται σε 40,00 ευρώ ανά διανυκτέρευση.</w:t>
      </w:r>
    </w:p>
    <w:p>
      <w:pPr>
        <w:pStyle w:val="MainText"/>
        <w:spacing w:before="120" w:after="0"/>
        <w:rPr>
          <w:lang w:val="el" w:eastAsia="el"/>
        </w:rPr>
      </w:pPr>
      <w:r>
        <w:rPr>
          <w:b/>
          <w:bCs/>
          <w:lang w:val="el" w:eastAsia="el"/>
        </w:rPr>
        <w:t>4.</w:t>
      </w:r>
      <w:r>
        <w:rPr>
          <w:lang w:val="el" w:eastAsia="el"/>
        </w:rPr>
        <w:t xml:space="preserve"> Πέραν των ανωτέρω, καταβάλλεται και τυχόν δαπάνη, η οποία συνδέεται άρρηκτα με την χρήση και μεταφορά του εξοπλισμού στον τόπο του περιστατικού (π.χ. μίσθωση εξοπλισμού, μίσθωση μεταφορικού μέσου για τον επιπλέον εξοπλισμό κ.λπ.) καθώς και με τη χρήση επιπλέον μηχανικών μέσων ή ζώων σύρσης και φόρτου ή λοιπού μηχανολογικού εξοπλισμού και οι οποίες συνοδεύονται από τα αντίστοιχα παραστατικά, κατόπιν τεκμηρίωσης της ανάγκης για τη διενέργεια της δαπάνης αυτής. Η παρούσα πρόβλεψη δεν περιλαμβάνει τη δαπάνη που συνδέεται με τη συνήθη χρήση του εξοπλισμού (π.χ. καύσιμα, συντήρηση κ.λπ.).</w:t>
      </w:r>
    </w:p>
    <w:p>
      <w:pPr>
        <w:pStyle w:val="MainText"/>
        <w:spacing w:before="120" w:after="0"/>
        <w:rPr>
          <w:lang w:val="el" w:eastAsia="el"/>
        </w:rPr>
      </w:pPr>
      <w:r>
        <w:rPr>
          <w:b/>
          <w:bCs/>
          <w:lang w:val="el" w:eastAsia="el"/>
        </w:rPr>
        <w:t>5.</w:t>
      </w:r>
      <w:r>
        <w:rPr>
          <w:lang w:val="el" w:eastAsia="el"/>
        </w:rPr>
        <w:t xml:space="preserve"> Τα ανωτέρω ποσά θα καταβάλλονται στους Δασικούς Συνεταιρισμούς Εργασίας από το Πράσινο Ταμείο και θα βαρύνουν τις κατ’ έτος εγγεγραμμένες πιστώσεις της Δράσης 8: Οικονομική Ενίσχυση Δασικών Συνεταιρισμών (Δα.Σ.Ε.), του Μέτρου 1: Μέτρα Διαχείρισης Δασών και Άγριας Πανίδας, του Άξονα Προτεραιότητας 2, Διαχείριση Δασικών Οικοσυστημάτων του Χρηματοδοτικού Προγράμματος (Προστασία και αναβάθμιση δασών) του Ειδικού Φορέα Δασών.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Διαδικασία καταβολής αμοιβών</w:t>
      </w:r>
    </w:p>
    <w:p>
      <w:pPr>
        <w:spacing w:before="240" w:after="240"/>
        <w:rPr>
          <w:lang w:val="el" w:eastAsia="el"/>
        </w:rPr>
      </w:pPr>
      <w:r>
        <w:rPr>
          <w:lang w:val="el" w:eastAsia="el"/>
        </w:rPr>
        <w:t>και αποζημιώσεων</w:t>
      </w:r>
    </w:p>
    <w:p>
      <w:pPr>
        <w:spacing w:before="240" w:after="240"/>
        <w:rPr>
          <w:lang w:val="el" w:eastAsia="el"/>
        </w:rPr>
      </w:pPr>
      <w:r>
        <w:rPr>
          <w:lang w:val="el" w:eastAsia="el"/>
        </w:rPr>
        <w:t>Η καταβολή θα γίνεται μετά από βεβαίωση των Δασικών Συνεταιρισμών Εργασίας, στην οποία θα περιλαμβάνεται αναλυτική κατάσταση των συμμετεχόντων δασεργατών μελών του, των ωρών απασχόλησής τους, της τυχόν μεταφοράς τους με ίδια μέσα και των διανυκτερεύσεων που απαιτήθηκαν, καθώς και του χρησιμοποιηθέντος εξοπλισμού τους και τυχόν επιπλέον δαπανών που διενεργήθηκαν με τα νόμιμα παραστατικά τους και ειδική τεκμηρίωση για την αναγκαιότητά τους, σύμφωνα με την παρ. 4 του άρθρου 1 της παρούσας, η οποία θα εγκρίνεται από την αρμόδια κατά τόπο δασική υπηρεσία και θα αποστέλλεται στη Γενική Διεύθυνση Δασών και Δασικού Περιβάλλοντος για περαιτέρω ενέργειές της προς το Πράσινο Ταμείο για την εξόφλησή τους.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Πίνακας διαθεσιμότητας δασεργατών</w:t>
      </w:r>
    </w:p>
    <w:p>
      <w:pPr>
        <w:spacing w:before="240" w:after="240"/>
        <w:rPr>
          <w:lang w:val="el" w:eastAsia="el"/>
        </w:rPr>
      </w:pPr>
      <w:r>
        <w:rPr>
          <w:lang w:val="el" w:eastAsia="el"/>
        </w:rPr>
        <w:t>και εξοπλισμού</w:t>
      </w:r>
    </w:p>
    <w:p>
      <w:pPr>
        <w:spacing w:before="240" w:after="240"/>
        <w:rPr>
          <w:lang w:val="el" w:eastAsia="el"/>
        </w:rPr>
      </w:pPr>
      <w:r>
        <w:rPr>
          <w:lang w:val="el" w:eastAsia="el"/>
        </w:rPr>
        <w:t>Μετά από πρόσκληση του Προϊσταμένου της Γενικής Διεύθυνσης Δασών και Δασικού Περιβάλλοντος προς τους Δασικούς Συνεταιρισμούς Εργασίας, οι τελευταίοι δηλώνουν τη διαθεσιμότητά τους για την συνδρομή τους στα περιστατικά της παρ. 1 του άρθρου 30 του ν. 5106/2024, τον αριθμό των μελών τους που είναι διαθέσιμα και τον εξοπλισμό που προτίθενται να χρησιμοποιήσουν για την αντιμετώπιση των περιστατικών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