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Γ1α/Γ.Π.οικ.34632</w:t>
      </w:r>
    </w:p>
    <w:p>
      <w:pPr>
        <w:spacing w:before="240" w:after="240"/>
        <w:rPr>
          <w:lang w:val="el" w:eastAsia="el"/>
        </w:rPr>
      </w:pPr>
      <w:r>
        <w:rPr>
          <w:b/>
          <w:bCs/>
          <w:lang w:val="el" w:eastAsia="el"/>
        </w:rPr>
        <w:t>Τροποποίηση της υπό στοιχεία Γ1α/Γ.Π.οικ.35161/ 16.06.2022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 όπως τροποποιήθηκε με τις υπό στοιχεία Γ1α/Γ.Π.οικ.53768/22.09.2022 (Β’ 5026), Γ1α/Γ.Π.οικ.69012/1.12.2022 (Β’ 6300), Γ1α/Γ.Π.οικ.18302/27.03.2023 (Β’ 2126) και Γ1α/ Γ.Π.οικ.60731/16.11.2023 (Β’ 6560) όμοιες αποφάσεις - Εκ νέου μετάθεση του χρόνου έναρξης του συστήματος συνεπειών («αντικινήτρων») για τη μη εγγραφή των πολιτών σε Προσωπικό Ιατρό και του χρόνου έναρξης του συστήματος συνεπειών («αντικινήτρων») για τη μη τήρηση της διαδικασίας του συστήματος παραπομπών.</w:t>
      </w:r>
    </w:p>
    <w:p>
      <w:pPr>
        <w:spacing w:before="240" w:after="240"/>
        <w:rPr>
          <w:lang w:val="el" w:eastAsia="el"/>
        </w:rPr>
      </w:pPr>
      <w:r>
        <w:rPr>
          <w:b/>
          <w:bCs/>
          <w:lang w:val="el" w:eastAsia="el"/>
        </w:rPr>
        <w:t>ΟΙ ΥΠΟΥΡΓΟΙ ΕΘΝΙΚΗΣ ΟΙΚΟΝΟΜΙΑΣ ΚΑΙ ΟΙΚΟΝΟΜΙΚΩΝ - ΥΓΕΙΑΣ - ΕΡΓΑΣΙΑΣ ΚΑΙ ΚΟΙΝΩΝΙΚΗΣ ΑΣΦΑΛΙΣΗΣ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38 και της παρ. 6 του άρθρου 71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 β) του άρθρου 19 του ν. 4486/2017 «Μεταρρύθμιση της Πρωτοβάθμιας Φροντίδας Υγείας, επείγουσες ρυθμίσεις αρμοδιότητας Υπουργείου Υγείας και άλλες διατάξεις» (Α’ 115), όπως τροποποιήθηκε με το άρθρο 37 του ν. 4931/2022,</w:t>
      </w:r>
    </w:p>
    <w:p>
      <w:pPr>
        <w:pStyle w:val="StructureList1"/>
        <w:spacing w:before="120" w:after="0"/>
        <w:rPr>
          <w:lang w:val="el" w:eastAsia="el"/>
        </w:rPr>
      </w:pPr>
      <w:r>
        <w:rPr>
          <w:lang w:val="el" w:eastAsia="el"/>
        </w:rPr>
        <w:t>γ)</w:t>
      </w:r>
      <w:r>
        <w:rPr>
          <w:lang w:val="en" w:eastAsia="en"/>
        </w:rPr>
        <w:tab/>
      </w:r>
      <w:r>
        <w:rPr>
          <w:lang w:val="el" w:eastAsia="el"/>
        </w:rPr>
        <w:t>του άρθρου 5 του ν. 4238/2014 «Πρωτοβάθμιο Εθνικό Δίκτυο Υγείας (Π.Ε.Δ.Υ.), αλλαγή σκοπού Ε.Ο.Π.Υ.Υ. και λοιπές διατάξεις» (Α’ 38), όπως αντικαταστάθηκε με το άρθρο 36 του ν. 4931/2022,</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περ.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της παρ. 1 του άρθρου 5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και του άρθρου 1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στ)</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ζ)</w:t>
      </w:r>
      <w:r>
        <w:rPr>
          <w:lang w:val="en" w:eastAsia="en"/>
        </w:rPr>
        <w:tab/>
      </w:r>
      <w:r>
        <w:rPr>
          <w:lang w:val="el" w:eastAsia="el"/>
        </w:rPr>
        <w:t>του π.δ. 2/2024 «Διορισμός Υπουργών και Υφυπουργών» (Α’ 2),</w:t>
      </w:r>
    </w:p>
    <w:p>
      <w:pPr>
        <w:pStyle w:val="StructureList1"/>
        <w:spacing w:before="120" w:after="0"/>
        <w:rPr>
          <w:lang w:val="el" w:eastAsia="el"/>
        </w:rPr>
      </w:pPr>
      <w:r>
        <w:rPr>
          <w:lang w:val="el" w:eastAsia="el"/>
        </w:rPr>
        <w:t>η)</w:t>
      </w:r>
      <w:r>
        <w:rPr>
          <w:lang w:val="en" w:eastAsia="en"/>
        </w:rPr>
        <w:tab/>
      </w:r>
      <w:r>
        <w:rPr>
          <w:lang w:val="el" w:eastAsia="el"/>
        </w:rPr>
        <w:t>του π.δ. 32/2024 «Διορισμός Υπουργών και Υφυπουργών» (Α’ 91),</w:t>
      </w:r>
    </w:p>
    <w:p>
      <w:pPr>
        <w:pStyle w:val="StructureList1"/>
        <w:spacing w:before="120" w:after="0"/>
        <w:rPr>
          <w:lang w:val="el" w:eastAsia="el"/>
        </w:rPr>
      </w:pPr>
      <w:r>
        <w:rPr>
          <w:lang w:val="el" w:eastAsia="el"/>
        </w:rPr>
        <w:t>θ)</w:t>
      </w:r>
      <w:r>
        <w:rPr>
          <w:lang w:val="en" w:eastAsia="en"/>
        </w:rPr>
        <w:tab/>
      </w:r>
      <w:r>
        <w:rPr>
          <w:lang w:val="el" w:eastAsia="el"/>
        </w:rPr>
        <w:t>της υπό στοιχεία Υ14/9.7.2023 απόφασης του Πρωθυπουργού «Ανάθεση αρμοδιοτήτων στην Αναπληρώτρια Υπουργό Υγείας, Ειρήνη Αγαπηδάκη» (Β’ 4435),</w:t>
      </w:r>
    </w:p>
    <w:p>
      <w:pPr>
        <w:pStyle w:val="StructureList1"/>
        <w:spacing w:before="120" w:after="0"/>
        <w:rPr>
          <w:lang w:val="el" w:eastAsia="el"/>
        </w:rPr>
      </w:pPr>
      <w:r>
        <w:rPr>
          <w:lang w:val="el" w:eastAsia="el"/>
        </w:rPr>
        <w:t>ι)</w:t>
      </w:r>
      <w:r>
        <w:rPr>
          <w:lang w:val="en" w:eastAsia="en"/>
        </w:rPr>
        <w:tab/>
      </w:r>
      <w:r>
        <w:rPr>
          <w:lang w:val="el" w:eastAsia="el"/>
        </w:rPr>
        <w:t>της υπό στοιχεία 102928 ΕΞ 2023/10.7.2023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ια)</w:t>
      </w:r>
      <w:r>
        <w:rPr>
          <w:lang w:val="en" w:eastAsia="en"/>
        </w:rPr>
        <w:tab/>
      </w:r>
      <w:r>
        <w:rPr>
          <w:lang w:val="el" w:eastAsia="el"/>
        </w:rPr>
        <w:t>της υπό στοιχεία ΔΥΓ3(α)/οικ.104747/26.10.2012 (Β’ 2883) κοινής απόφασης των Υπουργών Υγείας και Εργασίας και Κοινωνικής Ασφάλισης και Πρόνοιας περί τροποποίησης και επαναδιατύπωσης της υπό στοιχεία Φ.42000/οικ.2555/353/28.2.2012 κοινής υπουργικής απόφασης «Κατάλογος παθήσεων, τα φάρμακα των οποίων χορηγούνται με μειωμένη ή μηδενική συμμετοχή του ασφαλισμένου» (Β’ 497), όπως αυτή είχε τροποποιηθεί με την υπό στοιχεία Φ.42000/οικ. 12485/1481/6.6.2012 (Β’ 1814) κοινή υπουργική απόφαση,</w:t>
      </w:r>
    </w:p>
    <w:p>
      <w:pPr>
        <w:pStyle w:val="StructureList1"/>
        <w:spacing w:before="120" w:after="0"/>
        <w:rPr>
          <w:lang w:val="el" w:eastAsia="el"/>
        </w:rPr>
      </w:pPr>
      <w:r>
        <w:rPr>
          <w:lang w:val="el" w:eastAsia="el"/>
        </w:rPr>
        <w:t>ιβ)</w:t>
      </w:r>
      <w:r>
        <w:rPr>
          <w:lang w:val="en" w:eastAsia="en"/>
        </w:rPr>
        <w:tab/>
      </w:r>
      <w:r>
        <w:rPr>
          <w:lang w:val="el" w:eastAsia="el"/>
        </w:rPr>
        <w:t>της υπό στοιχεία ΕΑΛΕ/Γ.Π.80157/31.10.2018 κοινής απόφασης των Αναπληρωτών Υπουργών Οικονομικών και Υγείας «Τροποποίηση και αντικατάσταση της υπ’ αρ. ΕΑΛΕ/Γ.Π.46846/19-06-2018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2. Την υπό στοιχεία Γ1α/Γ.Π.οικ.34694/14.6.2022 υπουργική απόφαση «Καθιέρωση και εφαρμογή συστήματος παραπομπών για την πρόσβαση στους ιατρούς ειδικοτήτων των Κέντρων Υγείας, τις δημόσιες δομές δευτεροβάθμιας και τριτοβάθμιας φροντίδας υγείας και τους συμβεβλημένους με τον ΕΟΠΥΥ παρόχους υπηρεσιών υγείας» (Β’ 3010).</w:t>
      </w:r>
    </w:p>
    <w:p>
      <w:pPr>
        <w:spacing w:before="240" w:after="240"/>
        <w:rPr>
          <w:lang w:val="el" w:eastAsia="el"/>
        </w:rPr>
      </w:pPr>
      <w:r>
        <w:rPr>
          <w:lang w:val="el" w:eastAsia="el"/>
        </w:rPr>
        <w:t>3. Την υπό στοιχεία Γ1α/Γ.Π.οικ.35161/16.6.2022 κοινή απόφαση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w:t>
      </w:r>
    </w:p>
    <w:p>
      <w:pPr>
        <w:spacing w:before="240" w:after="240"/>
        <w:rPr>
          <w:lang w:val="el" w:eastAsia="el"/>
        </w:rPr>
      </w:pPr>
      <w:r>
        <w:rPr>
          <w:lang w:val="el" w:eastAsia="el"/>
        </w:rPr>
        <w:t>4. Την υπό στοιχεία Γ1α/Γ.Π.οικ.53768/22.9.2022 κοινή απόφαση των Υπουργών Οικονομικών, Εργασίας και Κοινωνικών Υποθέσεων και Υγείας «Τροποποίηση της υπό στοιχεία Γ1α/Γ.Π.οικ.35161/16-6-2022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 - Μετάθεση του χρόνου έναρξης του συστήματος συνεπειών («αντικινήτρων») για τη μη εγγραφή των πολιτών σε Προσωπικό Ιατρό» (Β’ 5026).</w:t>
      </w:r>
    </w:p>
    <w:p>
      <w:pPr>
        <w:spacing w:before="240" w:after="240"/>
        <w:rPr>
          <w:lang w:val="el" w:eastAsia="el"/>
        </w:rPr>
      </w:pPr>
      <w:r>
        <w:rPr>
          <w:lang w:val="el" w:eastAsia="el"/>
        </w:rPr>
        <w:t>5. Την υπό στοιχεία Γ1α/Γ.Π.οικ.69012/1.12.2022 κοινή απόφαση των Υπουργών Οικονομικών, Εργασίας και Κοινωνικών Υποθέσεων και Υγείας «Τροποποίηση της υπό στοιχεία Γ1α/Γ.Π.οικ. 35161/16-6-2022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την τήρηση της διαδικασίας του συστήματος παραπομπών” (Β’ 3020), όπως αυτή τροποποιήθηκε με την υπό στοιχεία Γ1α/Γ.Π.οικ. 53768/ 22-9-2022 (Β’ 5026) όμοια απόφαση - Μετάθεση του χρόνου έναρξης του συστήματος συνεπειών («αντικινήτρων») για τη μη εγγραφή των πολιτών σε Προσωπικό Ιατρό» (Β’ 6300).</w:t>
      </w:r>
    </w:p>
    <w:p>
      <w:pPr>
        <w:spacing w:before="240" w:after="240"/>
        <w:rPr>
          <w:lang w:val="el" w:eastAsia="el"/>
        </w:rPr>
      </w:pPr>
      <w:r>
        <w:rPr>
          <w:lang w:val="el" w:eastAsia="el"/>
        </w:rPr>
        <w:t>6. Την υπό στοιχεία Γ1α/Γ.Π.οικ.18302/27.3.2023 κοινή απόφαση των Υπουργών Οικονομικών, Εργασίας και Κοινωνικών Υποθέσεων και Υγείας «Τροποποίηση της υπό στοιχεία Γ1α/Γ.Π.οικ.35161/16-6-2022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την τήρηση της διαδικασίας του συστήματος παραπομπών” (Β’ 3020), όπως τροποποιήθηκε με τις υπό στοιχεία Γ1α/Γ.Π.οικ. 53768/22-9-2022 (Β’ 5026) και Γ1α/Γ.Π.οικ.69012/12.12.2022 (Β’ 6300) όμοιες αποφάσεις - Εκ νέου μετάθεση του χρόνου έναρξης του συστήματος συνεπειών ("αντικινήτρων") για τη μη εγγραφή των πολιτών σε Προσωπικό Ιατρό» (Β’ 2126).</w:t>
      </w:r>
    </w:p>
    <w:p>
      <w:pPr>
        <w:spacing w:before="240" w:after="240"/>
        <w:rPr>
          <w:lang w:val="el" w:eastAsia="el"/>
        </w:rPr>
      </w:pPr>
      <w:r>
        <w:rPr>
          <w:lang w:val="el" w:eastAsia="el"/>
        </w:rPr>
        <w:t>7. Την υπό στοιχεία Γ1α/Γ.Π.οικ.60731/16.11.2023 κοινή απόφαση των Υπουργών Οικονομικών, Εργασίας και Κοινωνικών Υποθέσεων και Υγείας «Τροποποίηση της υπό στοιχεία Γ1α/Γ.Π.οικ.35161/16-6-2022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την τήρηση της διαδικασίας του συστήματος παραπομπών” (Β’ 3020), όπως τροποποιήθηκε με τις υπό στοιχεία Γ1α/Γ.Π.οικ. 53768/22-9-2022 (Β’ 5026) και Γ1α/Γ.Π.οικ.69012/12.12.2022 (Β’ 6300) και Γ1α/Γ.Π.οικ.18302/27.3.2023 (Β’ 2126) όμοιες αποφάσεις - Εκ νέου μετάθεση του χρόνου έναρξης του συστήματος συνεπειών ("αντικινήτρων") για τη μη εγγραφή των πολιτών σε Προσωπικό Ιατρό» (Β’ 6560).</w:t>
      </w:r>
    </w:p>
    <w:p>
      <w:pPr>
        <w:spacing w:before="240" w:after="240"/>
        <w:rPr>
          <w:lang w:val="el" w:eastAsia="el"/>
        </w:rPr>
      </w:pPr>
      <w:r>
        <w:rPr>
          <w:lang w:val="el" w:eastAsia="el"/>
        </w:rPr>
        <w:t>8. Την υπό στοιχεία Β1α/Γ.Π.οικ.33782/21-6-2024 εισήγηση της Γενικής Διεύθυνσης Οικονομικών Υπηρεσιών του Υπουργείου Υγείας, σύμφωνα με την περ. ε’ της παρ. 5 του άρθρου 24 του ν. 4270/2014 (Α’ 143), σύμφωνα με την οποία δεν προκαλείται δαπάνη σε βάρος του Τακτικού Προϋπολογισμού του Υπουργείου Υγείας, δεδομένου ότι μετατίθεται ο χρόνος έναρξης του συστήματος συνεπειών (αντικινήτρων) για τη μη εγγραφή των πολιτών σε Προσωπικό Ιατρό και τη μη τήρηση της διαδικασίας του συστήματος παραπομπών, αποφασίζουμε:</w:t>
      </w:r>
    </w:p>
    <w:p>
      <w:pPr>
        <w:spacing w:before="240" w:after="240"/>
        <w:rPr>
          <w:lang w:val="el" w:eastAsia="el"/>
        </w:rPr>
      </w:pPr>
      <w:r>
        <w:rPr>
          <w:lang w:val="el" w:eastAsia="el"/>
        </w:rPr>
        <w:t>Τροποποιούμε την υπό στοιχεία Γ1α/Γ.Π.οικ.35161/ 16.6.2022 κοινή απόφαση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 όπως</w:t>
      </w:r>
    </w:p>
    <w:p>
      <w:pPr>
        <w:spacing w:before="240" w:after="240"/>
        <w:rPr>
          <w:lang w:val="el" w:eastAsia="el"/>
        </w:rPr>
      </w:pPr>
      <w:r>
        <w:rPr>
          <w:lang w:val="el" w:eastAsia="el"/>
        </w:rPr>
        <w:t>αυτή τροποποιήθηκε με τις υπό στοιχεία Γ1α/Γ.Π.οικ.53768/22.9.2022 (Β’ 5026), Γ1α/Γ.Π.οικ.69012/1.12.2022 (Β’ 6300), Γ1α/Γ.Π.οικ.18302/27.3.2023 (Β’ 2126) και Γ1α/Γ.Π.οικ.60731/16.11.2023 (Β’ 6560) όμοιες αποφάσεις, μόνο ως προς τον χρόνο έναρξης του συστήματος συνεπειών («αντικινήτρων») α) για τη μη εγγραφή των πολιτών σε Προσωπικό Ιατρό των σημείων ΙΒα), ΙΒβ) και β) για τη μη τήρηση της διαδικασίας του συστήματος παραπομπών του σημείου ΙΙΒ) της τροποποιούμενης απόφασης, ο οποίος χρόνος έναρξης μετατίθεται για τα σημεία ΙΒα), ΙΒβ) και το σημείο ΙΙΒ) από την 30η.06.2024 στην 31η.12.2024.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Ιουνίου 2024</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67"/>
        <w:gridCol w:w="5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after="240"/>
              <w:rPr>
                <w:b w:val="0"/>
                <w:bCs w:val="0"/>
                <w:i w:val="0"/>
                <w:iCs w:val="0"/>
                <w:smallCaps w:val="0"/>
                <w:color w:val="000000"/>
                <w:lang w:val="el" w:eastAsia="el"/>
              </w:rPr>
            </w:pPr>
            <w:r>
              <w:rPr>
                <w:b/>
                <w:bCs/>
                <w:i w:val="0"/>
                <w:iCs w:val="0"/>
                <w:smallCaps w:val="0"/>
                <w:color w:val="000000"/>
                <w:lang w:val="el" w:eastAsia="el"/>
              </w:rPr>
              <w:t>ΚΩΝΣΤΑΝΤΙΝΟΣ</w:t>
            </w:r>
          </w:p>
          <w:p>
            <w:pPr>
              <w:spacing w:before="240"/>
              <w:rPr>
                <w:b w:val="0"/>
                <w:bCs w:val="0"/>
                <w:i w:val="0"/>
                <w:iCs w:val="0"/>
                <w:smallCaps w:val="0"/>
                <w:color w:val="000000"/>
                <w:lang w:val="el" w:eastAsia="el"/>
              </w:rPr>
            </w:pPr>
            <w:r>
              <w:rPr>
                <w:b/>
                <w:bCs/>
                <w:i w:val="0"/>
                <w:iCs w:val="0"/>
                <w:smallCaps w:val="0"/>
                <w:color w:val="000000"/>
                <w:lang w:val="el" w:eastAsia="el"/>
              </w:rPr>
              <w:t>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Εθνικής Οικονομίας και Οικονομικών</w:t>
            </w:r>
          </w:p>
          <w:p>
            <w:pPr>
              <w:spacing w:before="240" w:after="240"/>
              <w:rPr>
                <w:b w:val="0"/>
                <w:bCs w:val="0"/>
                <w:i w:val="0"/>
                <w:iCs w:val="0"/>
                <w:smallCaps w:val="0"/>
                <w:color w:val="000000"/>
                <w:lang w:val="el" w:eastAsia="el"/>
              </w:rPr>
            </w:pPr>
            <w:r>
              <w:rPr>
                <w:b/>
                <w:bCs/>
                <w:i w:val="0"/>
                <w:iCs w:val="0"/>
                <w:smallCaps w:val="0"/>
                <w:color w:val="000000"/>
                <w:lang w:val="el" w:eastAsia="el"/>
              </w:rPr>
              <w:t>ΑΘΑΝΑΣΙΟΣ</w:t>
            </w:r>
          </w:p>
          <w:p>
            <w:pPr>
              <w:spacing w:before="240"/>
              <w:rPr>
                <w:b w:val="0"/>
                <w:bCs w:val="0"/>
                <w:i w:val="0"/>
                <w:iCs w:val="0"/>
                <w:smallCaps w:val="0"/>
                <w:color w:val="000000"/>
                <w:lang w:val="el" w:eastAsia="el"/>
              </w:rPr>
            </w:pPr>
            <w:r>
              <w:rPr>
                <w:b/>
                <w:bCs/>
                <w:i w:val="0"/>
                <w:iCs w:val="0"/>
                <w:smallCaps w:val="0"/>
                <w:color w:val="000000"/>
                <w:lang w:val="el" w:eastAsia="el"/>
              </w:rPr>
              <w:t>ΠΕΤΡΑΛΙΑΣ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p>
            <w:pPr>
              <w:spacing w:before="240" w:after="240"/>
              <w:rPr>
                <w:b w:val="0"/>
                <w:bCs w:val="0"/>
                <w:i w:val="0"/>
                <w:iCs w:val="0"/>
                <w:smallCaps w:val="0"/>
                <w:color w:val="000000"/>
                <w:lang w:val="el" w:eastAsia="el"/>
              </w:rPr>
            </w:pPr>
            <w:r>
              <w:rPr>
                <w:b/>
                <w:bCs/>
                <w:i w:val="0"/>
                <w:iCs w:val="0"/>
                <w:smallCaps w:val="0"/>
                <w:color w:val="000000"/>
                <w:lang w:val="el" w:eastAsia="el"/>
              </w:rPr>
              <w:t>ΕΙΡΗΝΗ</w:t>
            </w:r>
          </w:p>
          <w:p>
            <w:pPr>
              <w:spacing w:before="240"/>
              <w:rPr>
                <w:b w:val="0"/>
                <w:bCs w:val="0"/>
                <w:i w:val="0"/>
                <w:iCs w:val="0"/>
                <w:smallCaps w:val="0"/>
                <w:color w:val="000000"/>
                <w:lang w:val="el" w:eastAsia="el"/>
              </w:rPr>
            </w:pPr>
            <w:r>
              <w:rPr>
                <w:b/>
                <w:bCs/>
                <w:i w:val="0"/>
                <w:iCs w:val="0"/>
                <w:smallCaps w:val="0"/>
                <w:color w:val="000000"/>
                <w:lang w:val="el" w:eastAsia="el"/>
              </w:rPr>
              <w:t>ΑΓΑΠΗΔΑΚΗ</w:t>
            </w:r>
          </w:p>
        </w:tc>
      </w:tr>
    </w:tbl>
    <w:p>
      <w:pPr>
        <w:spacing w:before="240" w:after="240"/>
        <w:rPr>
          <w:lang w:val="el" w:eastAsia="el"/>
        </w:rPr>
      </w:pPr>
      <w:r>
        <w:rPr>
          <w:lang w:val="el" w:eastAsia="el"/>
        </w:rPr>
        <w:t>Εργασίας και Κοινωνικής Ασφάλισης</w:t>
      </w:r>
    </w:p>
    <w:p>
      <w:pPr>
        <w:spacing w:before="240" w:after="240"/>
        <w:rPr>
          <w:lang w:val="el" w:eastAsia="el"/>
        </w:rPr>
      </w:pPr>
      <w:r>
        <w:rPr>
          <w:b/>
          <w:bCs/>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