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ΔΙΕΥΘΥΝΣΗ ΕΛΕΓΚΤΙΚΩΝ ΔΙΑΔΙΚΑΣΙΩΝ ΤΜΗΜΑ Α΄</w:t>
      </w:r>
    </w:p>
    <w:p>
      <w:pPr>
        <w:pStyle w:val="PreambelText"/>
        <w:spacing w:before="240" w:after="240"/>
        <w:rPr>
          <w:lang w:val="el" w:eastAsia="el"/>
        </w:rPr>
      </w:pPr>
      <w:r>
        <w:rPr>
          <w:b/>
          <w:bCs/>
          <w:lang w:val="el" w:eastAsia="el"/>
        </w:rPr>
        <w:t>Β. ΓΕΝΙΚΗ ΔΙΕΥΘΥΝΣΗ ΗΛΕΚΤΡΟΝΙΚΗΣ ΔΙΑΚΥΒΕΡΝΗΣΗΣ</w:t>
      </w:r>
    </w:p>
    <w:p>
      <w:pPr>
        <w:pStyle w:val="PreambelText"/>
        <w:spacing w:before="240" w:after="240"/>
        <w:rPr>
          <w:lang w:val="el" w:eastAsia="el"/>
        </w:rPr>
      </w:pPr>
      <w:r>
        <w:rPr>
          <w:b/>
          <w:bCs/>
          <w:lang w:val="el" w:eastAsia="el"/>
        </w:rPr>
        <w:t>ΔΙΕΥΘΥΝΣΗ ΔΙΑΧΕΙΡΙΣΗΣ ΥΠΟΔΟΜΩΝ ΤΜΗΜΑ Ε΄</w:t>
      </w:r>
    </w:p>
    <w:p>
      <w:pPr>
        <w:pStyle w:val="PreambelText"/>
        <w:spacing w:before="240" w:after="240"/>
        <w:rPr>
          <w:lang w:val="el" w:eastAsia="el"/>
        </w:rPr>
      </w:pPr>
      <w:r>
        <w:rPr>
          <w:b/>
          <w:bCs/>
          <w:lang w:val="el" w:eastAsia="el"/>
        </w:rPr>
        <w:t>Ταχ. Δ/νση : Χανδρή 1 &amp; Θεσσαλονίκης</w:t>
      </w:r>
    </w:p>
    <w:p>
      <w:pPr>
        <w:pStyle w:val="PreambelText"/>
        <w:spacing w:before="240" w:after="240"/>
        <w:rPr>
          <w:lang w:val="el" w:eastAsia="el"/>
        </w:rPr>
      </w:pPr>
      <w:r>
        <w:rPr>
          <w:b/>
          <w:bCs/>
          <w:lang w:val="el" w:eastAsia="el"/>
        </w:rPr>
        <w:t>Ταχ. : 18346 Μοσχάτο</w:t>
      </w:r>
    </w:p>
    <w:p>
      <w:pPr>
        <w:pStyle w:val="PreambelText"/>
        <w:spacing w:before="240" w:after="240"/>
        <w:rPr>
          <w:lang w:val="el" w:eastAsia="el"/>
        </w:rPr>
      </w:pPr>
      <w:r>
        <w:rPr>
          <w:b/>
          <w:bCs/>
          <w:lang w:val="el" w:eastAsia="el"/>
        </w:rPr>
        <w:t>Κώδικας</w:t>
      </w:r>
    </w:p>
    <w:p>
      <w:pPr>
        <w:pStyle w:val="PreambelText"/>
        <w:spacing w:before="240" w:after="240"/>
        <w:rPr>
          <w:lang w:val="el" w:eastAsia="el"/>
        </w:rPr>
      </w:pPr>
      <w:r>
        <w:rPr>
          <w:b/>
          <w:bCs/>
          <w:lang w:val="el" w:eastAsia="el"/>
        </w:rPr>
        <w:t>Τηλέφωνο : 210-4802550</w:t>
      </w:r>
    </w:p>
    <w:p>
      <w:pPr>
        <w:pStyle w:val="PreambelText"/>
        <w:spacing w:before="240" w:after="240"/>
        <w:rPr>
          <w:lang w:val="el" w:eastAsia="el"/>
        </w:rPr>
      </w:pPr>
      <w:r>
        <w:rPr>
          <w:b/>
          <w:bCs/>
          <w:lang w:val="el" w:eastAsia="el"/>
        </w:rPr>
        <w:t xml:space="preserve">Ε-Mail : </w:t>
      </w:r>
      <w:hyperlink r:id="rId4" w:history="1">
        <w:r>
          <w:rPr>
            <w:rStyle w:val="Hyperlink"/>
            <w:b/>
            <w:bCs/>
            <w:color w:val="0000EE"/>
            <w:u w:color="0000EE"/>
            <w:lang w:val="el" w:eastAsia="el"/>
          </w:rPr>
          <w:t>dieldi01@aade.gr</w:t>
        </w:r>
      </w:hyperlink>
    </w:p>
    <w:p>
      <w:pPr>
        <w:pStyle w:val="PreambelText"/>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Θέμα: Τροποποίηση της υπό στοιχεία Α.1073/2023 απόφασης του Διοικητή της</w:t>
      </w:r>
    </w:p>
    <w:p>
      <w:pPr>
        <w:pStyle w:val="PreambelText"/>
        <w:spacing w:before="240" w:after="240"/>
        <w:rPr>
          <w:lang w:val="el" w:eastAsia="el"/>
        </w:rPr>
      </w:pPr>
      <w:r>
        <w:rPr>
          <w:b/>
          <w:bCs/>
          <w:lang w:val="el" w:eastAsia="el"/>
        </w:rPr>
        <w:t>Ανεξάρτητης Αρχής Δημοσίων Εσόδων (ΑΑΔΕ)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 (Β΄4516 και Β΄4606).</w:t>
      </w:r>
    </w:p>
    <w:p>
      <w:pPr>
        <w:pStyle w:val="enacting"/>
        <w:spacing w:before="120" w:after="0"/>
        <w:rPr>
          <w:lang w:val="el" w:eastAsia="el"/>
        </w:rPr>
      </w:pPr>
      <w:r>
        <w:rPr>
          <w:b/>
          <w:bCs/>
          <w:lang w:val="el" w:eastAsia="el"/>
        </w:rPr>
        <w:t>ΑΠΟΦΑΣΗ</w:t>
      </w:r>
      <w:r>
        <w:rPr>
          <w:b/>
          <w:bCs/>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άρθρων 12 και 40 του ν.4308/2014 «Ελληνικά Λογιστικά Πρότυπα, συναφείς ρυθμίσεις και άλλες διατάξεις» (Α΄251),</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υπό στοιχεία Δ.ΟΡΓ.Α 1125859 ΕΞ2020/23.10.2020 απόφασης του Διοικητή της Ανεξάρτητης Αρχής Δημοσίων Εσόδων «Οργανισμός της Ανεξάρτητης Αρχής Δημοσίων Εσόδων (ΑΑΔΕ)» (Β΄4738),</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υπό στοιχεία ΠΟΛ. 1220/13.12.2012 απόφασης του Υφυπουργού Οικονομικών «Κωδικοποίηση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(Β΄3517),</w:t>
      </w:r>
    </w:p>
    <w:p>
      <w:pPr>
        <w:pStyle w:val="StructureList1"/>
        <w:spacing w:before="120" w:after="0"/>
        <w:rPr>
          <w:lang w:val="el" w:eastAsia="el"/>
        </w:rPr>
      </w:pPr>
      <w:r>
        <w:rPr>
          <w:b/>
          <w:bCs/>
          <w:lang w:val="el" w:eastAsia="el"/>
        </w:rPr>
        <w:t>ε)</w:t>
      </w:r>
      <w:r>
        <w:rPr>
          <w:b/>
          <w:bCs/>
          <w:lang w:val="en" w:eastAsia="en"/>
        </w:rPr>
        <w:tab/>
      </w:r>
      <w:r>
        <w:rPr>
          <w:b/>
          <w:bCs/>
          <w:lang w:val="el" w:eastAsia="el"/>
        </w:rPr>
        <w:t>της υπό στοιχεία Α.Υ.Ο.Ο. ΠΟΛ. 1015/10.1.2012 «Χρονικά όρια δυνατότητας διάθεσης ΦΗΜ και φορολογικών μνημών» (Β΄257),</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υπό στοιχεία Α.Υ.Ο.Ο. ΠΟΛ. 1063/26.3.2008 «Απαγόρευση εισαγωγής/ παραγωγής, σφράγισης και διάθεσης παλαιών μοντέλων ΦΗΜ και φορολογικών μνημών αυτών, των οποίων η άδεια καταλληλότητας υπερβαίνει τα 4 έτη από την ημερομηνία χορήγησής της» (Β΄ 633), ζ) της υπό στοιχεία Α.Υ.Ο.Ο. ΠΟΛ. 1234/9.10.2002 «Τεχνικές προδιαγραφές φορολογικών ηλεκτρονικών μηχανισμών και συστημάτων» (Β΄1362),</w:t>
      </w:r>
    </w:p>
    <w:p>
      <w:pPr>
        <w:pStyle w:val="StructureList1"/>
        <w:spacing w:before="120" w:after="0"/>
        <w:rPr>
          <w:lang w:val="el" w:eastAsia="el"/>
        </w:rPr>
      </w:pPr>
      <w:r>
        <w:rPr>
          <w:b/>
          <w:bCs/>
          <w:lang w:val="el" w:eastAsia="el"/>
        </w:rPr>
        <w:t>η)</w:t>
      </w:r>
      <w:r>
        <w:rPr>
          <w:b/>
          <w:bCs/>
          <w:lang w:val="en" w:eastAsia="en"/>
        </w:rPr>
        <w:tab/>
      </w:r>
      <w:r>
        <w:rPr>
          <w:b/>
          <w:bCs/>
          <w:lang w:val="el" w:eastAsia="el"/>
        </w:rPr>
        <w:t>της υπό στοιχεία Α.1173/7.12.2022 απόφασης του Διοικητή της ΑΑΔΕ «Τροποποίηση τεχνικών προδιαγραφών ΦΗΜ» (Β’ 6953),</w:t>
      </w:r>
    </w:p>
    <w:p>
      <w:pPr>
        <w:pStyle w:val="StructureList1"/>
        <w:spacing w:before="120" w:after="0"/>
        <w:rPr>
          <w:lang w:val="el" w:eastAsia="el"/>
        </w:rPr>
      </w:pPr>
      <w:r>
        <w:rPr>
          <w:b/>
          <w:bCs/>
          <w:lang w:val="el" w:eastAsia="el"/>
        </w:rPr>
        <w:t>θ)</w:t>
      </w:r>
      <w:r>
        <w:rPr>
          <w:b/>
          <w:bCs/>
          <w:lang w:val="en" w:eastAsia="en"/>
        </w:rPr>
        <w:tab/>
      </w:r>
      <w:r>
        <w:rPr>
          <w:b/>
          <w:bCs/>
          <w:lang w:val="el" w:eastAsia="el"/>
        </w:rPr>
        <w:t>της υπό στοιχεία Α.1024/31.1.2020 απόφασης του Διοικητή της ΑΑΔΕ «Συμπληρωματικές τεχνικές προδιαγραφές πρωτοκόλλου επικοινωνίας και κρυπτογράφησης για την διαβίβαση δεδομένων στο πληροφοριακό σύστημα των ΦΗΜ.» (Β΄317),</w:t>
      </w:r>
    </w:p>
    <w:p>
      <w:pPr>
        <w:pStyle w:val="StructureList1"/>
        <w:spacing w:before="120" w:after="0"/>
        <w:rPr>
          <w:lang w:val="el" w:eastAsia="el"/>
        </w:rPr>
      </w:pPr>
      <w:r>
        <w:rPr>
          <w:b/>
          <w:bCs/>
          <w:lang w:val="el" w:eastAsia="el"/>
        </w:rPr>
        <w:t>ι)</w:t>
      </w:r>
      <w:r>
        <w:rPr>
          <w:b/>
          <w:bCs/>
          <w:lang w:val="en" w:eastAsia="en"/>
        </w:rPr>
        <w:tab/>
      </w:r>
      <w:r>
        <w:rPr>
          <w:b/>
          <w:bCs/>
          <w:lang w:val="el" w:eastAsia="el"/>
        </w:rPr>
        <w:t>της υπό στοιχεία ΠΟΛ. 1068/24.3.2015 απόφασης της Γενικής Γραμματέως Δημοσίων Εσόδων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Φ.Η.Μ.»(Β΄497),</w:t>
      </w:r>
    </w:p>
    <w:p>
      <w:pPr>
        <w:pStyle w:val="StructureList1"/>
        <w:spacing w:before="120" w:after="0"/>
        <w:rPr>
          <w:lang w:val="el" w:eastAsia="el"/>
        </w:rPr>
      </w:pPr>
      <w:r>
        <w:rPr>
          <w:b/>
          <w:bCs/>
          <w:lang w:val="el" w:eastAsia="el"/>
        </w:rPr>
        <w:t>ια)</w:t>
      </w:r>
      <w:r>
        <w:rPr>
          <w:b/>
          <w:bCs/>
          <w:lang w:val="en" w:eastAsia="en"/>
        </w:rPr>
        <w:tab/>
      </w:r>
      <w:r>
        <w:rPr>
          <w:b/>
          <w:bCs/>
          <w:lang w:val="el" w:eastAsia="el"/>
        </w:rPr>
        <w:t>της υπό στοιχεία Α.1035/18.02.2020 απόφασης του Υφυπουργού Οικονομικών «Υποχρεώσεις Παρόχων Υπηρεσιών Ηλεκτρονικής Έκδοσης Στοιχείων και διαδικασίες ελέγχου παροχής υπηρεσιών ηλεκτρονικής έκδοσης στοιχείων» (Β’ 551),</w:t>
      </w:r>
    </w:p>
    <w:p>
      <w:pPr>
        <w:pStyle w:val="StructureList1"/>
        <w:spacing w:before="120" w:after="0"/>
        <w:rPr>
          <w:lang w:val="el" w:eastAsia="el"/>
        </w:rPr>
      </w:pPr>
      <w:r>
        <w:rPr>
          <w:b/>
          <w:bCs/>
          <w:lang w:val="el" w:eastAsia="el"/>
        </w:rPr>
        <w:t>ιβ)</w:t>
      </w:r>
      <w:r>
        <w:rPr>
          <w:b/>
          <w:bCs/>
          <w:lang w:val="en" w:eastAsia="en"/>
        </w:rPr>
        <w:tab/>
      </w:r>
      <w:r>
        <w:rPr>
          <w:b/>
          <w:bCs/>
          <w:lang w:val="el" w:eastAsia="el"/>
        </w:rPr>
        <w:t>της υπό στοιχεία Α.1073/18.5.2023 απόφασης του Διοικητή της Ανεξάρτητης Αρχής Δημοσίων Εσόδων (Α.Α.Δ.Ε.)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 (Β' 4516 και Β'4606),</w:t>
      </w:r>
    </w:p>
    <w:p>
      <w:pPr>
        <w:pStyle w:val="StructureList1"/>
        <w:spacing w:before="120" w:after="0"/>
        <w:rPr>
          <w:lang w:val="el" w:eastAsia="el"/>
        </w:rPr>
      </w:pPr>
      <w:r>
        <w:rPr>
          <w:b/>
          <w:bCs/>
          <w:lang w:val="el" w:eastAsia="el"/>
        </w:rPr>
        <w:t>ιγ)</w:t>
      </w:r>
      <w:r>
        <w:rPr>
          <w:b/>
          <w:bCs/>
          <w:lang w:val="en" w:eastAsia="en"/>
        </w:rPr>
        <w:tab/>
      </w:r>
      <w:r>
        <w:rPr>
          <w:b/>
          <w:bCs/>
          <w:lang w:val="el" w:eastAsia="el"/>
        </w:rPr>
        <w:t>της υπό στοιχεία Α.1157/12.10.2023 απόφασης του Διοικητή της Ανεξάρτητης Αρχής Δημοσίων Εσόδων (Α.Α.Δ.Ε.)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(Β΄5994),</w:t>
      </w:r>
    </w:p>
    <w:p>
      <w:pPr>
        <w:pStyle w:val="StructureList1"/>
        <w:spacing w:before="120" w:after="0"/>
        <w:rPr>
          <w:lang w:val="el" w:eastAsia="el"/>
        </w:rPr>
      </w:pPr>
      <w:r>
        <w:rPr>
          <w:b/>
          <w:bCs/>
          <w:lang w:val="el" w:eastAsia="el"/>
        </w:rPr>
        <w:t>ιδ)</w:t>
      </w:r>
      <w:r>
        <w:rPr>
          <w:b/>
          <w:bCs/>
          <w:lang w:val="en" w:eastAsia="en"/>
        </w:rPr>
        <w:tab/>
      </w:r>
      <w:r>
        <w:rPr>
          <w:b/>
          <w:bCs/>
          <w:lang w:val="el" w:eastAsia="el"/>
        </w:rPr>
        <w:t>της υπ΄αρ.1/20.1.2016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υπ΄αρ. 39/3/30.11.2017 (Υ.Ο.Δ.Δ. 689) απόφαση του Συμβουλίου Διοίκησης της ΑΑΔΕ και την υπό στοιχεία 5294ΕΞ2020/17.01.2020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b/>
          <w:bCs/>
          <w:lang w:val="el" w:eastAsia="el"/>
        </w:rPr>
        <w:t xml:space="preserve">2. </w:t>
      </w:r>
      <w:r>
        <w:rPr>
          <w:b/>
          <w:bCs/>
          <w:lang w:val="el" w:eastAsia="el"/>
        </w:rPr>
        <w:t>Την ανάγκη παροχής πρόσθετου χρόνου για τη διευκόλυνση των φορολογουμένων ως προς την εκπλήρωση της υποχρέωσης απόσυρσης και οριστικής παύσης χρήσης όλων των ΕΑΦΔΣΣ.</w:t>
      </w:r>
    </w:p>
    <w:p>
      <w:pPr>
        <w:pStyle w:val="PreambelText"/>
        <w:spacing w:before="240" w:after="240"/>
        <w:rPr>
          <w:lang w:val="el" w:eastAsia="el"/>
        </w:rPr>
      </w:pPr>
      <w:r>
        <w:rPr>
          <w:b/>
          <w:bCs/>
          <w:lang w:val="el" w:eastAsia="el"/>
        </w:rPr>
        <w:t xml:space="preserve">3. </w:t>
      </w:r>
      <w:r>
        <w:rPr>
          <w:b/>
          <w:bCs/>
          <w:lang w:val="el" w:eastAsia="el"/>
        </w:rPr>
        <w:t>Το γεγονός ότι η απόφαση αυτή δεν προκαλεί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b/>
          <w:bCs/>
          <w:lang w:val="el" w:eastAsia="el"/>
        </w:rPr>
        <w:t>Τροποποιούμε την υπό στοιχεία Α.1073/18.5.2023 απόφαση του Διοικητή της Α.Α.Δ.Ε. με θέμα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Εστιατορίου»(Β΄4516 και Β΄4606), ως ακολούθως: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Το άρθρο 1 αντικαθίσταται ως εξής:</w:t>
      </w:r>
    </w:p>
    <w:p>
      <w:pPr>
        <w:spacing w:before="240" w:after="240"/>
        <w:rPr>
          <w:lang w:val="el" w:eastAsia="el"/>
        </w:rPr>
      </w:pPr>
      <w:r>
        <w:rPr>
          <w:b/>
          <w:bCs/>
          <w:lang w:val="el" w:eastAsia="el"/>
        </w:rPr>
        <w:t>«Άρθρο 1</w:t>
      </w:r>
    </w:p>
    <w:p>
      <w:pPr>
        <w:spacing w:before="240" w:after="240"/>
        <w:rPr>
          <w:lang w:val="el" w:eastAsia="el"/>
        </w:rPr>
      </w:pPr>
      <w:r>
        <w:rPr>
          <w:b/>
          <w:bCs/>
          <w:lang w:val="el" w:eastAsia="el"/>
        </w:rPr>
        <w:t>Απόσυρση από τη χρήση και οριστική παύση Ειδικών Ασφαλών Φορολογικών Διατάξεων Σήμανσης Στοιχείων (ΕΑΦΔΣΣ)</w:t>
      </w:r>
    </w:p>
    <w:p>
      <w:pPr>
        <w:spacing w:before="240" w:after="240"/>
        <w:rPr>
          <w:lang w:val="el" w:eastAsia="el"/>
        </w:rPr>
      </w:pPr>
      <w:r>
        <w:rPr>
          <w:b/>
          <w:bCs/>
          <w:lang w:val="el" w:eastAsia="el"/>
        </w:rPr>
        <w:t xml:space="preserve">1. </w:t>
      </w:r>
      <w:r>
        <w:rPr>
          <w:b/>
          <w:bCs/>
          <w:lang w:val="el" w:eastAsia="el"/>
        </w:rPr>
        <w:t>Οι οντότητες που εκδίδουν τα λογιστικά τους στοιχεία με τη χρήση ΕΑΦΔΣΣ, σύμφωνα με τα οριζόμενα στην υπό στοιχεία ΠΟΛ.1220/2012 (Β' 3517) απόφαση του Υφυπουργού Οικονομικών ή είναι κάτοχοι αυτών, παύουν τη χρήση αυτών έως και την 31.07.2024 και έχουν υποχρέωση υποβολής δήλωσης οριστικής παύσης τους. Οι ως άνω οντότητες από την 01.08.2024 και εφεξής έχουν την υποχρέωση χρήσης λοιπών τύπων ΦΗΜ ή υπηρεσιών Παρόχου ηλεκτρονικής έκδοσης στοιχείων λιανικής πώλησης. Ειδικά, οι οντότητες πρατηρίων καυσίμων παύουν τη χρήση και έχουν υποχρέωση υποβολής δήλωσης οριστικής παύσης των ΕΑΦΔΣΣ έως και την 31.12.2024.</w:t>
      </w:r>
    </w:p>
    <w:p>
      <w:pPr>
        <w:spacing w:before="240" w:after="240"/>
        <w:rPr>
          <w:lang w:val="el" w:eastAsia="el"/>
        </w:rPr>
      </w:pPr>
      <w:r>
        <w:rPr>
          <w:b/>
          <w:bCs/>
          <w:lang w:val="el" w:eastAsia="el"/>
        </w:rPr>
        <w:t xml:space="preserve">2. </w:t>
      </w:r>
      <w:r>
        <w:rPr>
          <w:b/>
          <w:bCs/>
          <w:lang w:val="el" w:eastAsia="el"/>
        </w:rPr>
        <w:t>Οι προθεσμίες του πρώτου και δεύτερου εδαφίου της παρ. 1 παρατείνονται έως 31.10.2024 και 1.11.2024 αντίστοιχα, εφόσον οι οντότητες κάνουν χρήση ΕΑΦΔΣΣ ως τμήμα Ταμειακού Συστήματος που διασυνδέεται με Μέσα Πληρωμών και οι σχετικές διασυνδέσεις πληρούν τα οριζόμενα στην περ. δ΄ της παρ. 2.5 της υπό στοιχεία Α.1157/2023 Απόφασης Διοικητή της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To άρθρο 2 αντικαθίσταται ως εξής:</w:t>
      </w:r>
    </w:p>
    <w:p>
      <w:pPr>
        <w:spacing w:before="240" w:after="240"/>
        <w:rPr>
          <w:lang w:val="el" w:eastAsia="el"/>
        </w:rPr>
      </w:pPr>
      <w:r>
        <w:rPr>
          <w:b/>
          <w:bCs/>
          <w:lang w:val="el" w:eastAsia="el"/>
        </w:rPr>
        <w:t>«Άρθρο 2</w:t>
      </w:r>
    </w:p>
    <w:p>
      <w:pPr>
        <w:spacing w:before="240" w:after="240"/>
        <w:rPr>
          <w:lang w:val="el" w:eastAsia="el"/>
        </w:rPr>
      </w:pPr>
      <w:r>
        <w:rPr>
          <w:b/>
          <w:bCs/>
          <w:lang w:val="el" w:eastAsia="el"/>
        </w:rPr>
        <w:t>Παύση χρήσης απλών Φορολογικών Ηλεκτρονικών Μηχανισμών (ΦΗΜ) από τις οντότητες εστίασης που λειτουργούν με σερβίρισμα σε τραπεζοκαθίσματα.</w:t>
      </w:r>
    </w:p>
    <w:p>
      <w:pPr>
        <w:spacing w:before="240" w:after="240"/>
        <w:rPr>
          <w:lang w:val="el" w:eastAsia="el"/>
        </w:rPr>
      </w:pPr>
      <w:r>
        <w:rPr>
          <w:b/>
          <w:bCs/>
          <w:lang w:val="el" w:eastAsia="el"/>
        </w:rPr>
        <w:t>Οι οντότητες εστίασης που λειτουργούν με σερβίρισμα σε τραπεζοκαθίσματα και εκδίδουν τα λογιστικά τους στοιχεία με τη χρήση απλών ΦΗΜ της υπό στοιχεία ΠΟΛ.1220/2012 απόφασης του Υφυπουργού Οικονομικών παύουν τη χρήση αυτών έως και την 31.07.2024.</w:t>
      </w:r>
    </w:p>
    <w:p>
      <w:pPr>
        <w:spacing w:before="240" w:after="240"/>
        <w:rPr>
          <w:lang w:val="el" w:eastAsia="el"/>
        </w:rPr>
      </w:pPr>
      <w:r>
        <w:rPr>
          <w:b/>
          <w:bCs/>
          <w:lang w:val="el" w:eastAsia="el"/>
        </w:rPr>
        <w:t xml:space="preserve">3. </w:t>
      </w:r>
      <w:r>
        <w:rPr>
          <w:b/>
          <w:bCs/>
          <w:lang w:val="el" w:eastAsia="el"/>
        </w:rPr>
        <w:t>Η παρ. 1 του άρθρου 3 αντικαθίσταται ως εξής:</w:t>
      </w:r>
    </w:p>
    <w:p>
      <w:pPr>
        <w:spacing w:before="240" w:after="240"/>
        <w:rPr>
          <w:lang w:val="el" w:eastAsia="el"/>
        </w:rPr>
      </w:pPr>
      <w:r>
        <w:rPr>
          <w:b/>
          <w:bCs/>
          <w:lang w:val="el" w:eastAsia="el"/>
        </w:rPr>
        <w:t>«1.α) Οι οντότητες εστίασης που λειτουργούν με σερβίρισμα σε τραπεζοκαθίσματα και εκδίδουν τα λογιστικά τους στοιχεία με τη χρήση ΕΑΦΔΣΣ, από την 01.08.2024 και εφεξής έχουν την υποχρέωση χρήσης ΦΗΜΑΣ Εστιατορίου ή ΦΤΜ Εστιατορίου ή ΑΔΗΜΕ Εστιατορίου, που πληρούν τις τεχνικές προδιαγραφές που ορίζονται στην υπό στοιχεία Α.1173/2022 απόφαση του Διοικητή της ΑΑΔΕ ή υπηρεσιών Παρόχου ηλεκτρονικής έκδοσης στοιχείων λιανικής πώλησης.</w:t>
      </w:r>
    </w:p>
    <w:p>
      <w:pPr>
        <w:spacing w:before="240" w:after="240"/>
        <w:rPr>
          <w:lang w:val="el" w:eastAsia="el"/>
        </w:rPr>
      </w:pPr>
      <w:r>
        <w:rPr>
          <w:b/>
          <w:bCs/>
          <w:lang w:val="el" w:eastAsia="el"/>
        </w:rPr>
        <w:t>β) Η προθεσμία της περ. α΄παρατείνεται έως την 01.11.2024, εφόσον οι οντότητες κάνουν χρήση ΕΑΦΔΣΣ ως τμήμα Ταμειακού Συστήματος που διασυνδέεται με Μέσα Πληρωμών και οι σχετικές διασυνδέσεις πληρούν τα οριζόμενα στην περ. δ΄της παρ. 2.5 της Α.1157/2023 Απόφασης Διοικητή της ΑΑΔΕ.».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παρ. 2 του άρθρου 3 αντικαθίσταται ως εξής:</w:t>
      </w:r>
    </w:p>
    <w:p>
      <w:pPr>
        <w:spacing w:before="240" w:after="240"/>
        <w:rPr>
          <w:lang w:val="el" w:eastAsia="el"/>
        </w:rPr>
      </w:pPr>
      <w:r>
        <w:rPr>
          <w:b/>
          <w:bCs/>
          <w:lang w:val="el" w:eastAsia="el"/>
        </w:rPr>
        <w:t>«2. Οι οντότητες εστίασης που λειτουργούν με σερβίρισμα σε τραπεζοκαθίσματα και εκδίδουν τα λογιστικά τους στοιχεία με τη χρήση απλών ΦΗΜ, από την 1.8.2024 και εφεξής, έχουν την υποχρέωση χρήσης ΦΗΜΑΣ Εστιατορίου ή ΦΤΜ Εστιατορίου ή ΑΔΗΜΕ Εστιατορίου που πληρούν τις τεχνικές προδιαγραφές που ορίζονται στην υπό στοιχεία Α.1173/2022 ή Παρόχου υπηρεσιών ηλεκτρονικής έκδοσης στοιχείων λιανικής πώλησης.</w:t>
      </w:r>
    </w:p>
    <w:p>
      <w:pPr>
        <w:spacing w:before="240" w:after="240"/>
        <w:rPr>
          <w:lang w:val="el" w:eastAsia="el"/>
        </w:rPr>
      </w:pPr>
      <w:r>
        <w:rPr>
          <w:b/>
          <w:bCs/>
          <w:lang w:val="el" w:eastAsia="el"/>
        </w:rPr>
        <w:t>Η απόφαση αυτή ισχύει από την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b/>
          <w:bCs/>
          <w:lang w:val="el" w:eastAsia="el"/>
        </w:rPr>
        <w:t xml:space="preserve">2. </w:t>
      </w:r>
      <w:r>
        <w:rPr>
          <w:b/>
          <w:bCs/>
          <w:lang w:val="el" w:eastAsia="el"/>
        </w:rPr>
        <w:t>Αποδέκτες πίνακα Β΄, Γ΄</w:t>
      </w:r>
    </w:p>
    <w:p>
      <w:pPr>
        <w:spacing w:before="240" w:after="240"/>
        <w:rPr>
          <w:lang w:val="el" w:eastAsia="el"/>
        </w:rPr>
      </w:pPr>
      <w:r>
        <w:rPr>
          <w:b/>
          <w:bCs/>
          <w:lang w:val="el" w:eastAsia="el"/>
        </w:rPr>
        <w:t xml:space="preserve">3. </w:t>
      </w:r>
      <w:r>
        <w:rPr>
          <w:b/>
          <w:bCs/>
          <w:lang w:val="el" w:eastAsia="el"/>
        </w:rPr>
        <w:t>Διεύθυνση Στρατηγικής Τεχνολογιών Πληροφορικής (για ανάρτηση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 xml:space="preserve">4. </w:t>
      </w:r>
      <w:r>
        <w:rPr>
          <w:b/>
          <w:bCs/>
          <w:lang w:val="el" w:eastAsia="el"/>
        </w:rPr>
        <w:t>Αποδέκτες Πίνακα Ζ, Η, ΙΑ (εκτός από τα υποθηκοφυλάκεια), ΙΒ΄, ΙΣΤ΄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Προϊσταμένων Γενικών Διευθύνσεων της Α.Α.Δ.Ε.</w:t>
      </w:r>
    </w:p>
    <w:p>
      <w:pPr>
        <w:spacing w:before="240" w:after="240"/>
        <w:rPr>
          <w:lang w:val="el" w:eastAsia="el"/>
        </w:rPr>
      </w:pPr>
      <w:r>
        <w:rPr>
          <w:b/>
          <w:bCs/>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b/>
          <w:bCs/>
          <w:lang w:val="el" w:eastAsia="el"/>
        </w:rPr>
        <w:t xml:space="preserve">4. </w:t>
      </w:r>
      <w:r>
        <w:rPr>
          <w:b/>
          <w:bCs/>
          <w:lang w:val="el" w:eastAsia="el"/>
        </w:rPr>
        <w:t>Διεύθυνση Επικοινωνίας</w:t>
      </w:r>
    </w:p>
    <w:p>
      <w:pPr>
        <w:spacing w:before="240" w:after="240"/>
        <w:rPr>
          <w:lang w:val="el" w:eastAsia="el"/>
        </w:rPr>
      </w:pPr>
      <w:r>
        <w:rPr>
          <w:b/>
          <w:bCs/>
          <w:lang w:val="el" w:eastAsia="el"/>
        </w:rPr>
        <w:t xml:space="preserve">5. </w:t>
      </w:r>
      <w:r>
        <w:rPr>
          <w:b/>
          <w:bCs/>
          <w:lang w:val="el" w:eastAsia="el"/>
        </w:rPr>
        <w:t>Διεύθυνση Νομικής υποστήριξης</w:t>
      </w:r>
    </w:p>
    <w:p>
      <w:pPr>
        <w:spacing w:before="240" w:after="240"/>
        <w:rPr>
          <w:lang w:val="el" w:eastAsia="el"/>
        </w:rPr>
      </w:pPr>
      <w:r>
        <w:rPr>
          <w:b/>
          <w:bCs/>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b/>
          <w:bCs/>
          <w:lang w:val="el" w:eastAsia="el"/>
        </w:rPr>
        <w:t xml:space="preserve">7. </w:t>
      </w:r>
      <w:r>
        <w:rPr>
          <w:b/>
          <w:bCs/>
          <w:lang w:val="el" w:eastAsia="el"/>
        </w:rPr>
        <w:t>Διεύθυνση Στρατηγικής Τεχνολογιών Πληροφορικής</w:t>
      </w:r>
    </w:p>
    <w:p>
      <w:pPr>
        <w:spacing w:before="240" w:after="240"/>
        <w:rPr>
          <w:lang w:val="el" w:eastAsia="el"/>
        </w:rPr>
      </w:pPr>
      <w:r>
        <w:rPr>
          <w:b/>
          <w:bCs/>
          <w:lang w:val="el" w:eastAsia="el"/>
        </w:rPr>
        <w:t xml:space="preserve">8. </w:t>
      </w:r>
      <w:r>
        <w:rPr>
          <w:b/>
          <w:bCs/>
          <w:lang w:val="el" w:eastAsia="el"/>
        </w:rPr>
        <w:t>Διεύθυνση Διαχείρισης Υποδομών-Τμήμα Ε΄</w:t>
      </w:r>
    </w:p>
    <w:p>
      <w:pPr>
        <w:spacing w:before="240" w:after="240"/>
        <w:rPr>
          <w:lang w:val="el" w:eastAsia="el"/>
        </w:rPr>
      </w:pPr>
      <w:r>
        <w:rPr>
          <w:b/>
          <w:bCs/>
          <w:lang w:val="el" w:eastAsia="el"/>
        </w:rPr>
        <w:t xml:space="preserve">9.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ldi01@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