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9ΝΞ746ΜΠ3Ζ-ΩΘΝ</w:t>
      </w:r>
    </w:p>
    <w:p>
      <w:pPr>
        <w:pStyle w:val="PreambelText"/>
        <w:spacing w:before="240" w:after="240"/>
        <w:rPr>
          <w:lang w:val="el" w:eastAsia="el"/>
        </w:rPr>
      </w:pPr>
      <w:r>
        <w:rPr>
          <w:b/>
          <w:bCs/>
          <w:lang w:val="el" w:eastAsia="el"/>
        </w:rPr>
        <w:t>Αριθ. ΦΕΚ: 3804 Β΄/1.7.2024</w:t>
      </w:r>
    </w:p>
    <w:p>
      <w:pPr>
        <w:pStyle w:val="PreambelText"/>
        <w:spacing w:before="240" w:after="240"/>
        <w:rPr>
          <w:lang w:val="el" w:eastAsia="el"/>
        </w:rPr>
      </w:pPr>
      <w:r>
        <w:rPr>
          <w:b/>
          <w:bCs/>
          <w:lang w:val="el" w:eastAsia="el"/>
        </w:rPr>
        <w:t>Αθήνα, 1 Ιουλίου 2024</w:t>
      </w:r>
    </w:p>
    <w:p>
      <w:pPr>
        <w:pStyle w:val="PreambelText"/>
        <w:spacing w:before="240" w:after="240"/>
        <w:rPr>
          <w:lang w:val="el" w:eastAsia="el"/>
        </w:rPr>
      </w:pPr>
      <w:r>
        <w:rPr>
          <w:b/>
          <w:bCs/>
          <w:lang w:val="el" w:eastAsia="el"/>
        </w:rPr>
        <w:t>Α. 1101</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α και β 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Τπηρεσιών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 (Β΄5993)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17 ΚΦΔ, καθώς και την τεχνική αδυναμία διασύνδεσης ορισμένων τύπων ΦΗΜ με συγκεκριμένα Μέσα Πληρωμών.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με θέμα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γ΄ της παρ. 2.5 του άρθρου 2 αντικαθίσταται ως εξής:</w:t>
      </w:r>
    </w:p>
    <w:p>
      <w:pPr>
        <w:spacing w:before="240" w:after="240"/>
        <w:rPr>
          <w:lang w:val="el" w:eastAsia="el"/>
        </w:rPr>
      </w:pPr>
      <w:r>
        <w:rPr>
          <w:b/>
          <w:bCs/>
          <w:lang w:val="el" w:eastAsia="el"/>
        </w:rPr>
        <w:t>«γ) Έως και την 30.9.2024, εφόσον διασυνδέονται σύμφωνα με το πρωτόκολλο επικοινωνίας της υπό στοιχεία Α.1155/2023 (Β'5992) απόφασης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περ. ε΄ της παρ. 2.5 του άρθρου 2 παύει να ισχύει από την έναρξη ισχύος της παρούσας απόφασης.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παρ. 2.8 &amp; 2.9 αντικαθίστανται ως εξής:</w:t>
      </w:r>
    </w:p>
    <w:p>
      <w:pPr>
        <w:spacing w:before="240" w:after="240"/>
        <w:rPr>
          <w:lang w:val="el" w:eastAsia="el"/>
        </w:rPr>
      </w:pPr>
      <w:r>
        <w:rPr>
          <w:b/>
          <w:bCs/>
          <w:lang w:val="el" w:eastAsia="el"/>
        </w:rPr>
        <w:t>«2.8. Οι οντότητες που εκδίδουν τα λογιστικά τους στοιχεία με τη χρήση ΕΑΦΔΣΣ ή είναι κάτοχοι αυτών και έχουν υποχρέωση δήλωσης οριστικής παύσης τους έως και την 31.7.2024, έχουν υποχρέωση διασύνδεσης των Μέσων Πληρωμών που διαθέτουν με το Ταμειακό Σύστημά τους που λειτουργεί είτε με ΦΗΜ είτε με Πάροχο Υπηρεσιών Ηλεκτρονικής Έκδοσης Στοιχείων και με το οποίο αντικαθιστούν την οριστικώς αποσυρόμενη ΕΑΦΔΣΣ, έως και την 31.7.2024 εφόσον η διασύνδεση ακολουθεί τα οριζόμενα στην Α.1098/2022 απόφαση του Διοικητή της ΑΑΔΕ και έως και την 30.9.2024 εφόσον η διασύνδεση ακολουθεί τα οριζόμενα στην Α.1155/2023 Απόφαση του Διοικητή της ΑΑΔΕ. Τα ανωτέρω δεν αίρουν την υποχρέωση διασύνδεσης λοιπών τύπων ΦΗΜ πλην ΕΑΦΔΣΣ ή λογισμικού Παρόχου Υπηρεσιών Ηλεκτρονικής Έκδοσης Στοιχείων που η οντότητα τυχόν χρησιμοποιεί σύμφωνα με τα οριζόμενα στις παρ. 2.5 ή 2.7 κατά περίπτωση.</w:t>
      </w:r>
    </w:p>
    <w:p>
      <w:pPr>
        <w:spacing w:before="240" w:after="240"/>
        <w:rPr>
          <w:lang w:val="el" w:eastAsia="el"/>
        </w:rPr>
      </w:pPr>
      <w:r>
        <w:rPr>
          <w:b/>
          <w:bCs/>
          <w:lang w:val="el" w:eastAsia="el"/>
        </w:rPr>
        <w:t>2.9. Πρατήρια καυσίμων, που εκδίδουν τα λογιστικά τους στοιχεία με τη χρήση ΕΑΦΔΣΣ ή είναι κάτοχοι αυτών και έχουν υποχρέωση δήλωσης οριστικής παύσης τους έως και την 31.12.2024, έχουν υποχρέωση διασύνδεσης των Μέσων Πληρωμών που διαθέτουν, σύμφωνα με τα οριζόμενα στις υπό στοιχεία Α.1098/2022 και Α.1155/2023 αποφάσεις του Διοικητή της ΑΑΔΕ, με το Ταμειακό Σύστημά τους που λειτουργεί είτε με ΦΗΜ είτε με Πάροχο Υπηρεσιών Ηλεκτρονικής Έκδοσης Στοιχείων και με το οποίο αντικαθιστούν την οριστικώς αποσυρόμενη ΕΑΦΔΣΣ, από την 01.01.2025.».</w:t>
      </w:r>
    </w:p>
    <w:p>
      <w:pPr>
        <w:pStyle w:val="MainText"/>
        <w:spacing w:before="120" w:after="0"/>
        <w:rPr>
          <w:lang w:val="el" w:eastAsia="el"/>
        </w:rPr>
      </w:pPr>
      <w:r>
        <w:rPr>
          <w:b/>
          <w:bCs/>
          <w:lang w:val="el" w:eastAsia="el"/>
        </w:rPr>
        <w:t>4.</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